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5A" w:rsidRPr="00291695" w:rsidRDefault="005C2581" w:rsidP="004B0165">
      <w:pPr>
        <w:rPr>
          <w:color w:val="000000" w:themeColor="text1"/>
          <w:spacing w:val="22"/>
          <w:sz w:val="18"/>
        </w:rPr>
      </w:pPr>
      <w:bookmarkStart w:id="0" w:name="_GoBack"/>
      <w:bookmarkEnd w:id="0"/>
      <w:r w:rsidRPr="00291695">
        <w:rPr>
          <w:color w:val="000000" w:themeColor="text1"/>
          <w:spacing w:val="22"/>
          <w:szCs w:val="24"/>
        </w:rPr>
        <w:t>F</w:t>
      </w:r>
      <w:r w:rsidRPr="00291695">
        <w:rPr>
          <w:color w:val="000000" w:themeColor="text1"/>
          <w:spacing w:val="22"/>
          <w:sz w:val="20"/>
          <w:szCs w:val="22"/>
        </w:rPr>
        <w:t>INANSTILSYNET</w:t>
      </w:r>
    </w:p>
    <w:p w:rsidR="00711C5A" w:rsidRPr="00291695" w:rsidRDefault="00B001BC" w:rsidP="004B0165">
      <w:pPr>
        <w:spacing w:before="40"/>
        <w:rPr>
          <w:color w:val="000000" w:themeColor="text1"/>
          <w:sz w:val="18"/>
        </w:rPr>
      </w:pPr>
      <w:r w:rsidRPr="00291695">
        <w:rPr>
          <w:color w:val="000000" w:themeColor="text1"/>
          <w:sz w:val="18"/>
        </w:rPr>
        <w:t xml:space="preserve">Seksjon </w:t>
      </w:r>
      <w:r w:rsidR="008C2520" w:rsidRPr="00291695">
        <w:rPr>
          <w:color w:val="000000" w:themeColor="text1"/>
          <w:sz w:val="18"/>
        </w:rPr>
        <w:t xml:space="preserve">for </w:t>
      </w:r>
      <w:r w:rsidR="00711C5A" w:rsidRPr="00291695">
        <w:rPr>
          <w:color w:val="000000" w:themeColor="text1"/>
          <w:sz w:val="18"/>
        </w:rPr>
        <w:t>forsikrings</w:t>
      </w:r>
      <w:r w:rsidR="008C2520" w:rsidRPr="00291695">
        <w:rPr>
          <w:color w:val="000000" w:themeColor="text1"/>
          <w:sz w:val="18"/>
        </w:rPr>
        <w:t>tilsyn</w:t>
      </w:r>
    </w:p>
    <w:p w:rsidR="00711C5A" w:rsidRPr="00291695" w:rsidRDefault="004B0165" w:rsidP="00EF7C9A">
      <w:pPr>
        <w:spacing w:before="120" w:line="247" w:lineRule="auto"/>
        <w:rPr>
          <w:color w:val="000000" w:themeColor="text1"/>
          <w:sz w:val="18"/>
          <w:szCs w:val="18"/>
        </w:rPr>
      </w:pPr>
      <w:proofErr w:type="gramStart"/>
      <w:r>
        <w:rPr>
          <w:color w:val="000000" w:themeColor="text1"/>
          <w:sz w:val="18"/>
          <w:szCs w:val="18"/>
        </w:rPr>
        <w:t xml:space="preserve">Dato:  </w:t>
      </w:r>
      <w:r w:rsidR="000C15F6">
        <w:rPr>
          <w:color w:val="000000" w:themeColor="text1"/>
          <w:sz w:val="18"/>
          <w:szCs w:val="18"/>
        </w:rPr>
        <w:t>23</w:t>
      </w:r>
      <w:proofErr w:type="gramEnd"/>
      <w:r w:rsidR="00F21352" w:rsidRPr="00291695">
        <w:rPr>
          <w:color w:val="000000" w:themeColor="text1"/>
          <w:sz w:val="18"/>
          <w:szCs w:val="18"/>
        </w:rPr>
        <w:t xml:space="preserve">. </w:t>
      </w:r>
      <w:r w:rsidR="000C15F6">
        <w:rPr>
          <w:color w:val="000000" w:themeColor="text1"/>
          <w:sz w:val="18"/>
          <w:szCs w:val="18"/>
        </w:rPr>
        <w:t xml:space="preserve">januar </w:t>
      </w:r>
      <w:r w:rsidR="00F21352" w:rsidRPr="00291695">
        <w:rPr>
          <w:color w:val="000000" w:themeColor="text1"/>
          <w:sz w:val="18"/>
          <w:szCs w:val="18"/>
        </w:rPr>
        <w:t>201</w:t>
      </w:r>
      <w:r w:rsidR="00AB2BE6">
        <w:rPr>
          <w:color w:val="000000" w:themeColor="text1"/>
          <w:sz w:val="18"/>
          <w:szCs w:val="18"/>
        </w:rPr>
        <w:t>7</w:t>
      </w:r>
    </w:p>
    <w:p w:rsidR="00711C5A" w:rsidRPr="00AC4EBD" w:rsidRDefault="00711C5A" w:rsidP="00EF7C9A">
      <w:pPr>
        <w:spacing w:line="247" w:lineRule="auto"/>
        <w:rPr>
          <w:color w:val="000000" w:themeColor="text1"/>
          <w:sz w:val="18"/>
        </w:rPr>
      </w:pPr>
    </w:p>
    <w:p w:rsidR="00E94203" w:rsidRDefault="00E94203" w:rsidP="00EF7C9A">
      <w:pPr>
        <w:spacing w:line="247" w:lineRule="auto"/>
        <w:rPr>
          <w:color w:val="000000" w:themeColor="text1"/>
          <w:sz w:val="18"/>
        </w:rPr>
      </w:pPr>
    </w:p>
    <w:p w:rsidR="00570511" w:rsidRDefault="00570511" w:rsidP="00EF7C9A">
      <w:pPr>
        <w:spacing w:line="247" w:lineRule="auto"/>
        <w:rPr>
          <w:color w:val="000000" w:themeColor="text1"/>
          <w:sz w:val="18"/>
        </w:rPr>
      </w:pPr>
    </w:p>
    <w:p w:rsidR="00570511" w:rsidRPr="00AC4EBD" w:rsidRDefault="00570511" w:rsidP="00EF7C9A">
      <w:pPr>
        <w:spacing w:line="247" w:lineRule="auto"/>
        <w:rPr>
          <w:color w:val="000000" w:themeColor="text1"/>
          <w:sz w:val="18"/>
        </w:rPr>
      </w:pPr>
    </w:p>
    <w:p w:rsidR="00E94203" w:rsidRPr="00AC4EBD" w:rsidRDefault="00E94203" w:rsidP="00EF7C9A">
      <w:pPr>
        <w:spacing w:line="247" w:lineRule="auto"/>
        <w:rPr>
          <w:color w:val="000000" w:themeColor="text1"/>
          <w:sz w:val="18"/>
        </w:rPr>
      </w:pPr>
    </w:p>
    <w:p w:rsidR="00711C5A" w:rsidRPr="00AC4EBD" w:rsidRDefault="00DF0C60" w:rsidP="00EF7C9A">
      <w:pPr>
        <w:spacing w:line="247" w:lineRule="auto"/>
        <w:rPr>
          <w:rFonts w:ascii="Algerian" w:hAnsi="Algerian"/>
          <w:b/>
          <w:color w:val="C00000"/>
          <w:spacing w:val="24"/>
          <w:sz w:val="23"/>
          <w:szCs w:val="23"/>
        </w:rPr>
      </w:pPr>
      <w:r w:rsidRPr="00AC4EBD">
        <w:rPr>
          <w:rFonts w:ascii="Algerian" w:hAnsi="Algerian"/>
          <w:b/>
          <w:color w:val="C00000"/>
          <w:spacing w:val="24"/>
          <w:sz w:val="23"/>
          <w:szCs w:val="23"/>
        </w:rPr>
        <w:t>ANSVAR</w:t>
      </w:r>
      <w:r w:rsidR="000C15F6">
        <w:rPr>
          <w:rFonts w:ascii="Algerian" w:hAnsi="Algerian"/>
          <w:b/>
          <w:color w:val="C00000"/>
          <w:spacing w:val="24"/>
          <w:sz w:val="23"/>
          <w:szCs w:val="23"/>
        </w:rPr>
        <w:t>LIG</w:t>
      </w:r>
      <w:r w:rsidRPr="00AC4EBD">
        <w:rPr>
          <w:rFonts w:ascii="Algerian" w:hAnsi="Algerian"/>
          <w:b/>
          <w:color w:val="C00000"/>
          <w:spacing w:val="24"/>
          <w:sz w:val="23"/>
          <w:szCs w:val="23"/>
        </w:rPr>
        <w:t xml:space="preserve"> </w:t>
      </w:r>
      <w:r w:rsidR="00AC4EBD" w:rsidRPr="00AC4EBD">
        <w:rPr>
          <w:rFonts w:ascii="Algerian" w:hAnsi="Algerian"/>
          <w:b/>
          <w:color w:val="C00000"/>
          <w:spacing w:val="24"/>
          <w:sz w:val="23"/>
          <w:szCs w:val="23"/>
        </w:rPr>
        <w:t xml:space="preserve"> </w:t>
      </w:r>
      <w:r w:rsidRPr="00AC4EBD">
        <w:rPr>
          <w:rFonts w:ascii="Algerian" w:hAnsi="Algerian"/>
          <w:b/>
          <w:color w:val="C00000"/>
          <w:spacing w:val="24"/>
          <w:sz w:val="23"/>
          <w:szCs w:val="23"/>
        </w:rPr>
        <w:t xml:space="preserve">AKTUARS </w:t>
      </w:r>
      <w:r w:rsidR="00AC4EBD" w:rsidRPr="00AC4EBD">
        <w:rPr>
          <w:rFonts w:ascii="Algerian" w:hAnsi="Algerian"/>
          <w:b/>
          <w:color w:val="C00000"/>
          <w:spacing w:val="24"/>
          <w:sz w:val="23"/>
          <w:szCs w:val="23"/>
        </w:rPr>
        <w:t xml:space="preserve"> </w:t>
      </w:r>
      <w:r w:rsidRPr="00AC4EBD">
        <w:rPr>
          <w:rFonts w:ascii="Algerian" w:hAnsi="Algerian"/>
          <w:b/>
          <w:color w:val="C00000"/>
          <w:spacing w:val="24"/>
          <w:sz w:val="23"/>
          <w:szCs w:val="23"/>
        </w:rPr>
        <w:t xml:space="preserve">RAPPORT </w:t>
      </w:r>
      <w:r w:rsidR="00AC4EBD" w:rsidRPr="00AC4EBD">
        <w:rPr>
          <w:rFonts w:ascii="Algerian" w:hAnsi="Algerian"/>
          <w:b/>
          <w:color w:val="C00000"/>
          <w:spacing w:val="24"/>
          <w:sz w:val="23"/>
          <w:szCs w:val="23"/>
        </w:rPr>
        <w:t xml:space="preserve"> </w:t>
      </w:r>
      <w:r w:rsidRPr="00AC4EBD">
        <w:rPr>
          <w:rFonts w:ascii="Algerian" w:hAnsi="Algerian"/>
          <w:b/>
          <w:color w:val="C00000"/>
          <w:spacing w:val="24"/>
          <w:sz w:val="23"/>
          <w:szCs w:val="23"/>
        </w:rPr>
        <w:t xml:space="preserve">I </w:t>
      </w:r>
      <w:r w:rsidR="00AC4EBD" w:rsidRPr="00AC4EBD">
        <w:rPr>
          <w:rFonts w:ascii="Algerian" w:hAnsi="Algerian"/>
          <w:b/>
          <w:color w:val="C00000"/>
          <w:spacing w:val="24"/>
          <w:sz w:val="23"/>
          <w:szCs w:val="23"/>
        </w:rPr>
        <w:t xml:space="preserve"> </w:t>
      </w:r>
      <w:r w:rsidRPr="00AC4EBD">
        <w:rPr>
          <w:rFonts w:ascii="Algerian" w:hAnsi="Algerian"/>
          <w:b/>
          <w:color w:val="C00000"/>
          <w:spacing w:val="24"/>
          <w:sz w:val="23"/>
          <w:szCs w:val="23"/>
        </w:rPr>
        <w:t>LIVSFORSIKRING</w:t>
      </w:r>
      <w:r w:rsidR="00AC4EBD" w:rsidRPr="00AC4EBD">
        <w:rPr>
          <w:rFonts w:ascii="Algerian" w:hAnsi="Algerian"/>
          <w:b/>
          <w:color w:val="C00000"/>
          <w:spacing w:val="24"/>
          <w:sz w:val="23"/>
          <w:szCs w:val="23"/>
        </w:rPr>
        <w:t xml:space="preserve">  for  201</w:t>
      </w:r>
      <w:r w:rsidR="00AB2BE6">
        <w:rPr>
          <w:rFonts w:ascii="Algerian" w:hAnsi="Algerian"/>
          <w:b/>
          <w:color w:val="C00000"/>
          <w:spacing w:val="24"/>
          <w:sz w:val="23"/>
          <w:szCs w:val="23"/>
        </w:rPr>
        <w:t>6</w:t>
      </w:r>
    </w:p>
    <w:p w:rsidR="009A7C07" w:rsidRPr="00291695" w:rsidRDefault="009A7C07" w:rsidP="00EF7C9A">
      <w:pPr>
        <w:spacing w:line="247" w:lineRule="auto"/>
        <w:jc w:val="both"/>
        <w:rPr>
          <w:color w:val="000000" w:themeColor="text1"/>
          <w:sz w:val="20"/>
        </w:rPr>
      </w:pPr>
    </w:p>
    <w:p w:rsidR="00711C5A" w:rsidRPr="00570511" w:rsidRDefault="00711C5A" w:rsidP="00AC4EBD">
      <w:pPr>
        <w:tabs>
          <w:tab w:val="left" w:pos="567"/>
        </w:tabs>
        <w:spacing w:before="60" w:line="259" w:lineRule="auto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1</w:t>
      </w:r>
      <w:r w:rsidRPr="00570511">
        <w:rPr>
          <w:b/>
          <w:color w:val="000000" w:themeColor="text1"/>
          <w:sz w:val="23"/>
          <w:szCs w:val="23"/>
        </w:rPr>
        <w:tab/>
        <w:t>Utviklingen i selskapet</w:t>
      </w:r>
    </w:p>
    <w:p w:rsidR="00711C5A" w:rsidRPr="00F11AE4" w:rsidRDefault="00711C5A" w:rsidP="00AC4EBD">
      <w:pPr>
        <w:tabs>
          <w:tab w:val="left" w:pos="567"/>
        </w:tabs>
        <w:spacing w:before="60" w:after="60" w:line="259" w:lineRule="auto"/>
        <w:rPr>
          <w:color w:val="000000" w:themeColor="text1"/>
          <w:sz w:val="23"/>
          <w:szCs w:val="23"/>
        </w:rPr>
      </w:pPr>
      <w:r w:rsidRPr="00F11AE4">
        <w:rPr>
          <w:color w:val="000000" w:themeColor="text1"/>
          <w:sz w:val="23"/>
          <w:szCs w:val="23"/>
        </w:rPr>
        <w:t>1.1</w:t>
      </w:r>
      <w:r w:rsidRPr="00F11AE4">
        <w:rPr>
          <w:color w:val="000000" w:themeColor="text1"/>
          <w:sz w:val="23"/>
          <w:szCs w:val="23"/>
        </w:rPr>
        <w:tab/>
      </w:r>
      <w:r w:rsidRPr="00F11AE4">
        <w:rPr>
          <w:color w:val="000000" w:themeColor="text1"/>
          <w:sz w:val="23"/>
          <w:szCs w:val="23"/>
          <w:u w:val="single"/>
        </w:rPr>
        <w:t>Premieinntekter</w:t>
      </w:r>
    </w:p>
    <w:p w:rsidR="00711C5A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F11AE4">
        <w:rPr>
          <w:color w:val="000000" w:themeColor="text1"/>
          <w:sz w:val="23"/>
          <w:szCs w:val="23"/>
        </w:rPr>
        <w:tab/>
        <w:t xml:space="preserve">Aktuaren gir utfyllende kommentarer til utviklingen i </w:t>
      </w:r>
      <w:r w:rsidR="000C15F6">
        <w:rPr>
          <w:color w:val="000000" w:themeColor="text1"/>
          <w:sz w:val="23"/>
          <w:szCs w:val="23"/>
        </w:rPr>
        <w:t>livsforsikringsforetakets (heretter</w:t>
      </w:r>
      <w:r w:rsidR="00A64C66">
        <w:rPr>
          <w:color w:val="000000" w:themeColor="text1"/>
          <w:sz w:val="23"/>
          <w:szCs w:val="23"/>
        </w:rPr>
        <w:t> </w:t>
      </w:r>
      <w:r w:rsidRPr="00F11AE4">
        <w:rPr>
          <w:color w:val="000000" w:themeColor="text1"/>
          <w:sz w:val="23"/>
          <w:szCs w:val="23"/>
        </w:rPr>
        <w:t>selskapet</w:t>
      </w:r>
      <w:r w:rsidR="000C15F6">
        <w:rPr>
          <w:color w:val="000000" w:themeColor="text1"/>
          <w:sz w:val="23"/>
          <w:szCs w:val="23"/>
        </w:rPr>
        <w:t>)</w:t>
      </w:r>
      <w:r w:rsidRPr="00F11AE4">
        <w:rPr>
          <w:color w:val="000000" w:themeColor="text1"/>
          <w:sz w:val="23"/>
          <w:szCs w:val="23"/>
        </w:rPr>
        <w:t xml:space="preserve"> premieinntekter fordelt på bransjer</w:t>
      </w:r>
      <w:r w:rsidR="00563A62" w:rsidRPr="00F11AE4">
        <w:rPr>
          <w:color w:val="000000" w:themeColor="text1"/>
          <w:sz w:val="23"/>
          <w:szCs w:val="23"/>
        </w:rPr>
        <w:t xml:space="preserve"> og eventuelle delbransjer.</w:t>
      </w:r>
    </w:p>
    <w:p w:rsidR="00711C5A" w:rsidRPr="00570511" w:rsidRDefault="00711C5A" w:rsidP="00AC4EBD">
      <w:pPr>
        <w:tabs>
          <w:tab w:val="left" w:pos="567"/>
        </w:tabs>
        <w:spacing w:line="259" w:lineRule="auto"/>
        <w:ind w:left="708" w:hanging="708"/>
        <w:rPr>
          <w:color w:val="000000" w:themeColor="text1"/>
          <w:sz w:val="16"/>
          <w:szCs w:val="16"/>
        </w:rPr>
      </w:pPr>
    </w:p>
    <w:p w:rsidR="00711C5A" w:rsidRPr="00AC4EBD" w:rsidRDefault="00711C5A" w:rsidP="00AC4EBD">
      <w:pPr>
        <w:tabs>
          <w:tab w:val="left" w:pos="567"/>
        </w:tabs>
        <w:spacing w:after="60" w:line="259" w:lineRule="auto"/>
        <w:ind w:left="709" w:hanging="709"/>
        <w:rPr>
          <w:color w:val="000000" w:themeColor="text1"/>
          <w:sz w:val="22"/>
          <w:szCs w:val="22"/>
        </w:rPr>
      </w:pPr>
      <w:r w:rsidRPr="00AC4EBD">
        <w:rPr>
          <w:color w:val="000000" w:themeColor="text1"/>
          <w:sz w:val="22"/>
          <w:szCs w:val="22"/>
        </w:rPr>
        <w:t>1.2</w:t>
      </w:r>
      <w:r w:rsidRPr="00AC4EBD">
        <w:rPr>
          <w:color w:val="000000" w:themeColor="text1"/>
          <w:sz w:val="22"/>
          <w:szCs w:val="22"/>
        </w:rPr>
        <w:tab/>
      </w:r>
      <w:r w:rsidRPr="00AC4EBD">
        <w:rPr>
          <w:color w:val="000000" w:themeColor="text1"/>
          <w:sz w:val="22"/>
          <w:szCs w:val="22"/>
          <w:u w:val="single"/>
        </w:rPr>
        <w:t>Erstatningsutbetalinger</w:t>
      </w:r>
      <w:r w:rsidR="00563A62" w:rsidRPr="00AC4EBD">
        <w:rPr>
          <w:color w:val="000000" w:themeColor="text1"/>
          <w:sz w:val="22"/>
          <w:szCs w:val="22"/>
          <w:u w:val="single"/>
        </w:rPr>
        <w:t xml:space="preserve"> og gjenkjøp</w:t>
      </w:r>
    </w:p>
    <w:p w:rsidR="00711C5A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>Aktuaren gir utfyllende kommentarer til utviklingen i selskapets utbetalte erstatninger fordelt på</w:t>
      </w:r>
      <w:r w:rsidR="00A64C66">
        <w:rPr>
          <w:color w:val="000000" w:themeColor="text1"/>
          <w:sz w:val="23"/>
          <w:szCs w:val="23"/>
        </w:rPr>
        <w:t> </w:t>
      </w:r>
      <w:r w:rsidRPr="00F11AE4">
        <w:rPr>
          <w:color w:val="000000" w:themeColor="text1"/>
          <w:sz w:val="23"/>
          <w:szCs w:val="23"/>
        </w:rPr>
        <w:t>bransje</w:t>
      </w:r>
      <w:r w:rsidR="00D553E3" w:rsidRPr="00F11AE4">
        <w:rPr>
          <w:color w:val="000000" w:themeColor="text1"/>
          <w:sz w:val="23"/>
          <w:szCs w:val="23"/>
        </w:rPr>
        <w:t>r og eventuelle delbransjer</w:t>
      </w:r>
      <w:r w:rsidRPr="00F11AE4">
        <w:rPr>
          <w:color w:val="000000" w:themeColor="text1"/>
          <w:sz w:val="23"/>
          <w:szCs w:val="23"/>
        </w:rPr>
        <w:t>.</w:t>
      </w:r>
      <w:r w:rsidR="00563A62" w:rsidRPr="00F11AE4">
        <w:rPr>
          <w:color w:val="000000" w:themeColor="text1"/>
          <w:sz w:val="23"/>
          <w:szCs w:val="23"/>
        </w:rPr>
        <w:t xml:space="preserve"> Det gis også en omtale av utviklingen i gjenkjøp.</w:t>
      </w:r>
    </w:p>
    <w:p w:rsidR="00711C5A" w:rsidRPr="00570511" w:rsidRDefault="00711C5A" w:rsidP="00AC4EBD">
      <w:pPr>
        <w:tabs>
          <w:tab w:val="left" w:pos="567"/>
        </w:tabs>
        <w:spacing w:line="259" w:lineRule="auto"/>
        <w:ind w:left="709" w:hanging="709"/>
        <w:rPr>
          <w:color w:val="000000" w:themeColor="text1"/>
          <w:sz w:val="16"/>
          <w:szCs w:val="16"/>
        </w:rPr>
      </w:pPr>
    </w:p>
    <w:p w:rsidR="00E94203" w:rsidRPr="00AC4EBD" w:rsidRDefault="00E96163" w:rsidP="00AC4EBD">
      <w:pPr>
        <w:tabs>
          <w:tab w:val="left" w:pos="567"/>
        </w:tabs>
        <w:spacing w:after="60" w:line="259" w:lineRule="auto"/>
        <w:ind w:left="709" w:hanging="709"/>
        <w:rPr>
          <w:color w:val="000000" w:themeColor="text1"/>
          <w:sz w:val="22"/>
          <w:szCs w:val="22"/>
        </w:rPr>
      </w:pPr>
      <w:r w:rsidRPr="00AC4EBD">
        <w:rPr>
          <w:color w:val="000000" w:themeColor="text1"/>
          <w:sz w:val="22"/>
          <w:szCs w:val="22"/>
        </w:rPr>
        <w:t>1.3</w:t>
      </w:r>
      <w:r w:rsidRPr="00AC4EBD">
        <w:rPr>
          <w:color w:val="000000" w:themeColor="text1"/>
          <w:sz w:val="22"/>
          <w:szCs w:val="22"/>
        </w:rPr>
        <w:tab/>
      </w:r>
      <w:r w:rsidRPr="00AC4EBD">
        <w:rPr>
          <w:color w:val="000000" w:themeColor="text1"/>
          <w:sz w:val="22"/>
          <w:szCs w:val="22"/>
          <w:u w:val="single"/>
        </w:rPr>
        <w:t>Flytting av forsikringskontrakter</w:t>
      </w:r>
    </w:p>
    <w:p w:rsidR="007D59C1" w:rsidRPr="00F11AE4" w:rsidRDefault="00E96163" w:rsidP="00AC4EBD">
      <w:pPr>
        <w:spacing w:line="259" w:lineRule="auto"/>
        <w:ind w:left="567" w:hanging="709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>Aktuaren gir utfyllende kommentarer til utviklingen med hensyn til flytting av forsikrings</w:t>
      </w:r>
      <w:r w:rsidRPr="00F11AE4">
        <w:rPr>
          <w:color w:val="000000" w:themeColor="text1"/>
          <w:sz w:val="23"/>
          <w:szCs w:val="23"/>
        </w:rPr>
        <w:softHyphen/>
        <w:t>kontrakter.</w:t>
      </w:r>
    </w:p>
    <w:p w:rsidR="00F44979" w:rsidRPr="00570511" w:rsidRDefault="00F44979" w:rsidP="00AC4EBD">
      <w:pPr>
        <w:spacing w:line="259" w:lineRule="auto"/>
        <w:ind w:left="567" w:hanging="709"/>
        <w:rPr>
          <w:color w:val="000000" w:themeColor="text1"/>
          <w:sz w:val="16"/>
          <w:szCs w:val="16"/>
        </w:rPr>
      </w:pPr>
    </w:p>
    <w:p w:rsidR="005006AF" w:rsidRPr="00570511" w:rsidRDefault="005006AF" w:rsidP="00AC4EBD">
      <w:pPr>
        <w:spacing w:before="60" w:after="60" w:line="259" w:lineRule="auto"/>
        <w:ind w:left="567" w:hanging="567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2</w:t>
      </w:r>
      <w:r w:rsidRPr="00570511">
        <w:rPr>
          <w:b/>
          <w:color w:val="000000" w:themeColor="text1"/>
          <w:sz w:val="23"/>
          <w:szCs w:val="23"/>
        </w:rPr>
        <w:tab/>
        <w:t>Premier</w:t>
      </w:r>
    </w:p>
    <w:p w:rsidR="004463E9" w:rsidRPr="00F11AE4" w:rsidRDefault="005C2581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b/>
          <w:color w:val="000000" w:themeColor="text1"/>
          <w:sz w:val="22"/>
          <w:szCs w:val="22"/>
        </w:rPr>
        <w:tab/>
      </w:r>
      <w:r w:rsidR="004463E9" w:rsidRPr="00F11AE4">
        <w:rPr>
          <w:color w:val="000000" w:themeColor="text1"/>
          <w:sz w:val="23"/>
          <w:szCs w:val="23"/>
        </w:rPr>
        <w:t xml:space="preserve">Aktuaren skal bekrefte at selskapets premier </w:t>
      </w:r>
      <w:r w:rsidR="005F5971" w:rsidRPr="00F11AE4">
        <w:rPr>
          <w:color w:val="000000" w:themeColor="text1"/>
          <w:sz w:val="23"/>
          <w:szCs w:val="23"/>
        </w:rPr>
        <w:t xml:space="preserve">i alle sammenhenger </w:t>
      </w:r>
      <w:r w:rsidR="004463E9" w:rsidRPr="00F11AE4">
        <w:rPr>
          <w:color w:val="000000" w:themeColor="text1"/>
          <w:sz w:val="23"/>
          <w:szCs w:val="23"/>
        </w:rPr>
        <w:t xml:space="preserve">er i samsvar med meldte forsikringstekniske beregningsgrunnlag. Dersom dette ikke er tilfelle, skal det redegjøres nærmere for forholdet. </w:t>
      </w:r>
    </w:p>
    <w:p w:rsidR="004463E9" w:rsidRPr="00F11AE4" w:rsidRDefault="004463E9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</w:p>
    <w:p w:rsidR="004463E9" w:rsidRPr="00AC4EBD" w:rsidRDefault="004463E9" w:rsidP="00AC4EBD">
      <w:pPr>
        <w:spacing w:line="259" w:lineRule="auto"/>
        <w:ind w:left="567"/>
        <w:rPr>
          <w:color w:val="000000" w:themeColor="text1"/>
          <w:sz w:val="22"/>
          <w:szCs w:val="22"/>
        </w:rPr>
      </w:pPr>
      <w:r w:rsidRPr="00F11AE4">
        <w:rPr>
          <w:color w:val="000000" w:themeColor="text1"/>
          <w:sz w:val="23"/>
          <w:szCs w:val="23"/>
        </w:rPr>
        <w:t xml:space="preserve">Aktuaren redegjør for i hvilken utstrekning </w:t>
      </w:r>
      <w:r w:rsidR="005F5971" w:rsidRPr="00F11AE4">
        <w:rPr>
          <w:color w:val="000000" w:themeColor="text1"/>
          <w:sz w:val="23"/>
          <w:szCs w:val="23"/>
        </w:rPr>
        <w:t xml:space="preserve">det er </w:t>
      </w:r>
      <w:r w:rsidRPr="00F11AE4">
        <w:rPr>
          <w:color w:val="000000" w:themeColor="text1"/>
          <w:sz w:val="23"/>
          <w:szCs w:val="23"/>
        </w:rPr>
        <w:t>foretatt kontroller eller stikkprøver for å sikre at det er benyttet riktige premier, herunder at premiene er knyttet opp til korrekte risikoklasser</w:t>
      </w:r>
      <w:r w:rsidR="00EA4DD9" w:rsidRPr="00F11AE4">
        <w:rPr>
          <w:color w:val="000000" w:themeColor="text1"/>
          <w:sz w:val="23"/>
          <w:szCs w:val="23"/>
        </w:rPr>
        <w:t>, i</w:t>
      </w:r>
      <w:r w:rsidR="003C640A">
        <w:rPr>
          <w:color w:val="000000" w:themeColor="text1"/>
          <w:sz w:val="23"/>
          <w:szCs w:val="23"/>
        </w:rPr>
        <w:t> </w:t>
      </w:r>
      <w:r w:rsidR="00EA4DD9" w:rsidRPr="00F11AE4">
        <w:rPr>
          <w:color w:val="000000" w:themeColor="text1"/>
          <w:sz w:val="23"/>
          <w:szCs w:val="23"/>
        </w:rPr>
        <w:t>henhold til meldinger til Finanstilsynet.</w:t>
      </w:r>
    </w:p>
    <w:p w:rsidR="005006AF" w:rsidRPr="00570511" w:rsidRDefault="005006AF" w:rsidP="00AC4EBD">
      <w:pPr>
        <w:spacing w:line="259" w:lineRule="auto"/>
        <w:ind w:left="567" w:hanging="709"/>
        <w:rPr>
          <w:color w:val="000000" w:themeColor="text1"/>
          <w:sz w:val="16"/>
          <w:szCs w:val="16"/>
        </w:rPr>
      </w:pPr>
    </w:p>
    <w:p w:rsidR="00711C5A" w:rsidRPr="00570511" w:rsidRDefault="005006AF" w:rsidP="00AC4EBD">
      <w:pPr>
        <w:spacing w:before="60" w:after="60" w:line="259" w:lineRule="auto"/>
        <w:ind w:left="567" w:hanging="567"/>
        <w:rPr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3</w:t>
      </w:r>
      <w:r w:rsidR="00711C5A" w:rsidRPr="00570511">
        <w:rPr>
          <w:b/>
          <w:color w:val="000000" w:themeColor="text1"/>
          <w:sz w:val="23"/>
          <w:szCs w:val="23"/>
        </w:rPr>
        <w:tab/>
        <w:t>Forsikringsfond</w:t>
      </w:r>
    </w:p>
    <w:p w:rsidR="003A187F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Aktuaren skal bekrefte at selskapets forsikringstekniske </w:t>
      </w:r>
      <w:r w:rsidR="000C15F6">
        <w:rPr>
          <w:color w:val="000000" w:themeColor="text1"/>
          <w:sz w:val="23"/>
          <w:szCs w:val="23"/>
        </w:rPr>
        <w:t xml:space="preserve">reserver </w:t>
      </w:r>
      <w:r w:rsidR="007E1359" w:rsidRPr="00F11AE4">
        <w:rPr>
          <w:color w:val="000000" w:themeColor="text1"/>
          <w:sz w:val="23"/>
          <w:szCs w:val="23"/>
        </w:rPr>
        <w:t>(premiereserve</w:t>
      </w:r>
      <w:r w:rsidR="00D140C1" w:rsidRPr="00F11AE4">
        <w:rPr>
          <w:color w:val="000000" w:themeColor="text1"/>
          <w:sz w:val="23"/>
          <w:szCs w:val="23"/>
        </w:rPr>
        <w:t>,</w:t>
      </w:r>
      <w:r w:rsidR="000C15F6">
        <w:rPr>
          <w:color w:val="000000" w:themeColor="text1"/>
          <w:sz w:val="23"/>
          <w:szCs w:val="23"/>
        </w:rPr>
        <w:t xml:space="preserve"> </w:t>
      </w:r>
      <w:proofErr w:type="gramStart"/>
      <w:r w:rsidR="000C15F6">
        <w:rPr>
          <w:color w:val="000000" w:themeColor="text1"/>
          <w:sz w:val="23"/>
          <w:szCs w:val="23"/>
        </w:rPr>
        <w:t xml:space="preserve">herunder </w:t>
      </w:r>
      <w:r w:rsidR="00D140C1" w:rsidRPr="00F11AE4">
        <w:rPr>
          <w:color w:val="000000" w:themeColor="text1"/>
          <w:sz w:val="23"/>
          <w:szCs w:val="23"/>
        </w:rPr>
        <w:t xml:space="preserve"> </w:t>
      </w:r>
      <w:r w:rsidR="000C15F6">
        <w:rPr>
          <w:color w:val="000000" w:themeColor="text1"/>
          <w:sz w:val="23"/>
          <w:szCs w:val="23"/>
        </w:rPr>
        <w:t>IBNS</w:t>
      </w:r>
      <w:proofErr w:type="gramEnd"/>
      <w:r w:rsidR="000C15F6">
        <w:rPr>
          <w:color w:val="000000" w:themeColor="text1"/>
          <w:sz w:val="23"/>
          <w:szCs w:val="23"/>
        </w:rPr>
        <w:t>-reserver</w:t>
      </w:r>
      <w:r w:rsidR="00D140C1" w:rsidRPr="00F11AE4">
        <w:rPr>
          <w:color w:val="000000" w:themeColor="text1"/>
          <w:sz w:val="23"/>
          <w:szCs w:val="23"/>
        </w:rPr>
        <w:t xml:space="preserve"> mv.</w:t>
      </w:r>
      <w:r w:rsidR="007E1359" w:rsidRPr="00F11AE4">
        <w:rPr>
          <w:color w:val="000000" w:themeColor="text1"/>
          <w:sz w:val="23"/>
          <w:szCs w:val="23"/>
        </w:rPr>
        <w:t xml:space="preserve">) </w:t>
      </w:r>
      <w:r w:rsidRPr="00F11AE4">
        <w:rPr>
          <w:color w:val="000000" w:themeColor="text1"/>
          <w:sz w:val="23"/>
          <w:szCs w:val="23"/>
        </w:rPr>
        <w:t xml:space="preserve">er i samsvar med anmeldte </w:t>
      </w:r>
      <w:r w:rsidR="00401AE6" w:rsidRPr="00F11AE4">
        <w:rPr>
          <w:color w:val="000000" w:themeColor="text1"/>
          <w:sz w:val="23"/>
          <w:szCs w:val="23"/>
        </w:rPr>
        <w:t xml:space="preserve">forsikringstekniske </w:t>
      </w:r>
      <w:r w:rsidRPr="00F11AE4">
        <w:rPr>
          <w:color w:val="000000" w:themeColor="text1"/>
          <w:sz w:val="23"/>
          <w:szCs w:val="23"/>
        </w:rPr>
        <w:t>beregningsgrunnlag. Dersom</w:t>
      </w:r>
      <w:r w:rsidR="000C15F6">
        <w:rPr>
          <w:color w:val="000000" w:themeColor="text1"/>
          <w:sz w:val="23"/>
          <w:szCs w:val="23"/>
        </w:rPr>
        <w:t> </w:t>
      </w:r>
      <w:r w:rsidRPr="00F11AE4">
        <w:rPr>
          <w:color w:val="000000" w:themeColor="text1"/>
          <w:sz w:val="23"/>
          <w:szCs w:val="23"/>
        </w:rPr>
        <w:t>dette ikke er tilfelle, skal det redegjøres nærmere for forholdet.</w:t>
      </w:r>
      <w:r w:rsidR="00563A62" w:rsidRPr="00F11AE4">
        <w:rPr>
          <w:color w:val="000000" w:themeColor="text1"/>
          <w:sz w:val="23"/>
          <w:szCs w:val="23"/>
        </w:rPr>
        <w:t xml:space="preserve"> </w:t>
      </w:r>
      <w:r w:rsidR="003A187F" w:rsidRPr="00F11AE4">
        <w:rPr>
          <w:color w:val="000000" w:themeColor="text1"/>
          <w:sz w:val="23"/>
          <w:szCs w:val="23"/>
        </w:rPr>
        <w:t xml:space="preserve">Det skal også redegjøres for omfanget av foretatte </w:t>
      </w:r>
      <w:proofErr w:type="spellStart"/>
      <w:r w:rsidR="003A187F" w:rsidRPr="00F11AE4">
        <w:rPr>
          <w:color w:val="000000" w:themeColor="text1"/>
          <w:sz w:val="23"/>
          <w:szCs w:val="23"/>
        </w:rPr>
        <w:t>oppreserveringer</w:t>
      </w:r>
      <w:proofErr w:type="spellEnd"/>
      <w:r w:rsidR="003A187F" w:rsidRPr="00F11AE4">
        <w:rPr>
          <w:color w:val="000000" w:themeColor="text1"/>
          <w:sz w:val="23"/>
          <w:szCs w:val="23"/>
        </w:rPr>
        <w:t xml:space="preserve"> og fremtidige opptrappingsplaner når det gjelder nytt dødelighets</w:t>
      </w:r>
      <w:r w:rsidR="003A187F" w:rsidRPr="00F11AE4">
        <w:rPr>
          <w:color w:val="000000" w:themeColor="text1"/>
          <w:sz w:val="23"/>
          <w:szCs w:val="23"/>
        </w:rPr>
        <w:softHyphen/>
        <w:t>grunnlag i kollektiv pensjonsforsikring. Omfanget av konverteringer av fripoliser til investerings</w:t>
      </w:r>
      <w:r w:rsidR="00570511" w:rsidRPr="00F11AE4">
        <w:rPr>
          <w:color w:val="000000" w:themeColor="text1"/>
          <w:sz w:val="23"/>
          <w:szCs w:val="23"/>
        </w:rPr>
        <w:softHyphen/>
      </w:r>
      <w:r w:rsidR="003A187F" w:rsidRPr="00F11AE4">
        <w:rPr>
          <w:color w:val="000000" w:themeColor="text1"/>
          <w:sz w:val="23"/>
          <w:szCs w:val="23"/>
        </w:rPr>
        <w:t xml:space="preserve">valg skal også omtales. </w:t>
      </w:r>
    </w:p>
    <w:p w:rsidR="00BA57F6" w:rsidRPr="00570511" w:rsidRDefault="004225B5" w:rsidP="00AC4EBD">
      <w:pPr>
        <w:spacing w:line="259" w:lineRule="auto"/>
        <w:ind w:left="567" w:hanging="567"/>
        <w:rPr>
          <w:color w:val="000000" w:themeColor="text1"/>
          <w:sz w:val="16"/>
          <w:szCs w:val="16"/>
        </w:rPr>
      </w:pPr>
      <w:r w:rsidRPr="00570511">
        <w:rPr>
          <w:color w:val="000000" w:themeColor="text1"/>
          <w:sz w:val="16"/>
          <w:szCs w:val="16"/>
        </w:rPr>
        <w:tab/>
      </w:r>
    </w:p>
    <w:p w:rsidR="00563A62" w:rsidRPr="00F11AE4" w:rsidRDefault="00BA57F6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Det skal </w:t>
      </w:r>
      <w:r w:rsidR="00E94203" w:rsidRPr="00F11AE4">
        <w:rPr>
          <w:color w:val="000000" w:themeColor="text1"/>
          <w:sz w:val="23"/>
          <w:szCs w:val="23"/>
        </w:rPr>
        <w:t xml:space="preserve">samtidig gis </w:t>
      </w:r>
      <w:r w:rsidRPr="00F11AE4">
        <w:rPr>
          <w:color w:val="000000" w:themeColor="text1"/>
          <w:sz w:val="23"/>
          <w:szCs w:val="23"/>
        </w:rPr>
        <w:t xml:space="preserve">redegjørelse for selskapets regler for </w:t>
      </w:r>
      <w:r w:rsidR="0059789E" w:rsidRPr="00F11AE4">
        <w:rPr>
          <w:color w:val="000000" w:themeColor="text1"/>
          <w:sz w:val="23"/>
          <w:szCs w:val="23"/>
        </w:rPr>
        <w:t>IBNR</w:t>
      </w:r>
      <w:r w:rsidRPr="00F11AE4">
        <w:rPr>
          <w:color w:val="000000" w:themeColor="text1"/>
          <w:sz w:val="23"/>
          <w:szCs w:val="23"/>
        </w:rPr>
        <w:t>-</w:t>
      </w:r>
      <w:r w:rsidR="0059789E" w:rsidRPr="00F11AE4">
        <w:rPr>
          <w:color w:val="000000" w:themeColor="text1"/>
          <w:sz w:val="23"/>
          <w:szCs w:val="23"/>
        </w:rPr>
        <w:t xml:space="preserve"> og RBNS</w:t>
      </w:r>
      <w:r w:rsidRPr="00F11AE4">
        <w:rPr>
          <w:color w:val="000000" w:themeColor="text1"/>
          <w:sz w:val="23"/>
          <w:szCs w:val="23"/>
        </w:rPr>
        <w:t>-</w:t>
      </w:r>
      <w:r w:rsidR="000C15F6">
        <w:rPr>
          <w:color w:val="000000" w:themeColor="text1"/>
          <w:sz w:val="23"/>
          <w:szCs w:val="23"/>
        </w:rPr>
        <w:t xml:space="preserve">reserver (IBNS) </w:t>
      </w:r>
      <w:r w:rsidR="0059789E" w:rsidRPr="00F11AE4">
        <w:rPr>
          <w:color w:val="000000" w:themeColor="text1"/>
          <w:sz w:val="23"/>
          <w:szCs w:val="23"/>
        </w:rPr>
        <w:t>for</w:t>
      </w:r>
      <w:r w:rsidR="000C15F6">
        <w:rPr>
          <w:color w:val="000000" w:themeColor="text1"/>
          <w:sz w:val="23"/>
          <w:szCs w:val="23"/>
        </w:rPr>
        <w:t> </w:t>
      </w:r>
      <w:r w:rsidR="00ED09D0" w:rsidRPr="00F11AE4">
        <w:rPr>
          <w:color w:val="000000" w:themeColor="text1"/>
          <w:sz w:val="23"/>
          <w:szCs w:val="23"/>
        </w:rPr>
        <w:t>alle bransjer og forsikringsdekninger</w:t>
      </w:r>
      <w:r w:rsidRPr="00F11AE4">
        <w:rPr>
          <w:color w:val="000000" w:themeColor="text1"/>
          <w:sz w:val="23"/>
          <w:szCs w:val="23"/>
        </w:rPr>
        <w:t>.</w:t>
      </w:r>
      <w:r w:rsidR="0059789E" w:rsidRPr="00F11AE4">
        <w:rPr>
          <w:color w:val="000000" w:themeColor="text1"/>
          <w:sz w:val="23"/>
          <w:szCs w:val="23"/>
        </w:rPr>
        <w:t xml:space="preserve"> </w:t>
      </w:r>
    </w:p>
    <w:p w:rsidR="00563A62" w:rsidRPr="00570511" w:rsidRDefault="00563A62" w:rsidP="00AC4EBD">
      <w:pPr>
        <w:spacing w:line="259" w:lineRule="auto"/>
        <w:ind w:left="567" w:hanging="567"/>
        <w:rPr>
          <w:color w:val="000000" w:themeColor="text1"/>
          <w:sz w:val="16"/>
          <w:szCs w:val="16"/>
        </w:rPr>
      </w:pPr>
    </w:p>
    <w:p w:rsidR="00711C5A" w:rsidRPr="00F11AE4" w:rsidRDefault="00563A62" w:rsidP="00AC4EBD">
      <w:pPr>
        <w:spacing w:line="259" w:lineRule="auto"/>
        <w:ind w:left="567"/>
        <w:rPr>
          <w:color w:val="000000" w:themeColor="text1"/>
          <w:sz w:val="23"/>
          <w:szCs w:val="23"/>
        </w:rPr>
      </w:pPr>
      <w:r w:rsidRPr="00F11AE4">
        <w:rPr>
          <w:color w:val="000000" w:themeColor="text1"/>
          <w:sz w:val="23"/>
          <w:szCs w:val="23"/>
        </w:rPr>
        <w:t>Aktuaren redegjør for i hvilken utstrekning aktuaren har foretatt kontrollberegninger av rimelig</w:t>
      </w:r>
      <w:r w:rsidR="00F11AE4">
        <w:rPr>
          <w:color w:val="000000" w:themeColor="text1"/>
          <w:sz w:val="23"/>
          <w:szCs w:val="23"/>
        </w:rPr>
        <w:softHyphen/>
      </w:r>
      <w:r w:rsidRPr="00F11AE4">
        <w:rPr>
          <w:color w:val="000000" w:themeColor="text1"/>
          <w:sz w:val="23"/>
          <w:szCs w:val="23"/>
        </w:rPr>
        <w:t>heten ved de maskinelt beregnede premiereserver og event</w:t>
      </w:r>
      <w:r w:rsidR="00BA57F6" w:rsidRPr="00F11AE4">
        <w:rPr>
          <w:color w:val="000000" w:themeColor="text1"/>
          <w:sz w:val="23"/>
          <w:szCs w:val="23"/>
        </w:rPr>
        <w:t>uelt også korreksjoner av disse (f.eks.</w:t>
      </w:r>
      <w:r w:rsidR="00F11AE4">
        <w:rPr>
          <w:color w:val="000000" w:themeColor="text1"/>
          <w:sz w:val="23"/>
          <w:szCs w:val="23"/>
        </w:rPr>
        <w:t> </w:t>
      </w:r>
      <w:r w:rsidR="00BA57F6" w:rsidRPr="00F11AE4">
        <w:rPr>
          <w:color w:val="000000" w:themeColor="text1"/>
          <w:sz w:val="23"/>
          <w:szCs w:val="23"/>
        </w:rPr>
        <w:t xml:space="preserve">om prospektive og retrospektive </w:t>
      </w:r>
      <w:r w:rsidR="00E94203" w:rsidRPr="00F11AE4">
        <w:rPr>
          <w:color w:val="000000" w:themeColor="text1"/>
          <w:sz w:val="23"/>
          <w:szCs w:val="23"/>
        </w:rPr>
        <w:t>kontroll</w:t>
      </w:r>
      <w:r w:rsidR="00BA57F6" w:rsidRPr="00F11AE4">
        <w:rPr>
          <w:color w:val="000000" w:themeColor="text1"/>
          <w:sz w:val="23"/>
          <w:szCs w:val="23"/>
        </w:rPr>
        <w:t xml:space="preserve">beregninger har gitt opphav til særskilte problemstillinger). </w:t>
      </w:r>
    </w:p>
    <w:p w:rsidR="005C77B5" w:rsidRPr="00570511" w:rsidRDefault="005C77B5" w:rsidP="00AC4EBD">
      <w:pPr>
        <w:spacing w:line="259" w:lineRule="auto"/>
        <w:ind w:left="567"/>
        <w:rPr>
          <w:color w:val="000000" w:themeColor="text1"/>
          <w:sz w:val="16"/>
          <w:szCs w:val="16"/>
        </w:rPr>
      </w:pPr>
    </w:p>
    <w:p w:rsidR="00246DCC" w:rsidRPr="00F11AE4" w:rsidRDefault="00246DCC" w:rsidP="00AC4EBD">
      <w:pPr>
        <w:spacing w:line="259" w:lineRule="auto"/>
        <w:ind w:left="567"/>
        <w:rPr>
          <w:color w:val="000000" w:themeColor="text1"/>
          <w:sz w:val="23"/>
          <w:szCs w:val="23"/>
        </w:rPr>
      </w:pPr>
      <w:r w:rsidRPr="00F11AE4">
        <w:rPr>
          <w:color w:val="000000" w:themeColor="text1"/>
          <w:sz w:val="23"/>
          <w:szCs w:val="23"/>
        </w:rPr>
        <w:t xml:space="preserve">Det skal </w:t>
      </w:r>
      <w:r w:rsidR="00057D33" w:rsidRPr="00F11AE4">
        <w:rPr>
          <w:color w:val="000000" w:themeColor="text1"/>
          <w:sz w:val="23"/>
          <w:szCs w:val="23"/>
        </w:rPr>
        <w:t>informeres om</w:t>
      </w:r>
      <w:r w:rsidRPr="00F11AE4">
        <w:rPr>
          <w:color w:val="000000" w:themeColor="text1"/>
          <w:sz w:val="23"/>
          <w:szCs w:val="23"/>
        </w:rPr>
        <w:t xml:space="preserve"> gjennomsnittlig </w:t>
      </w:r>
      <w:r w:rsidR="000835E9" w:rsidRPr="00F11AE4">
        <w:rPr>
          <w:color w:val="000000" w:themeColor="text1"/>
          <w:sz w:val="23"/>
          <w:szCs w:val="23"/>
        </w:rPr>
        <w:t>beregnings</w:t>
      </w:r>
      <w:r w:rsidR="00EF6E91" w:rsidRPr="00F11AE4">
        <w:rPr>
          <w:color w:val="000000" w:themeColor="text1"/>
          <w:sz w:val="23"/>
          <w:szCs w:val="23"/>
        </w:rPr>
        <w:t>rente</w:t>
      </w:r>
      <w:r w:rsidR="005205AD" w:rsidRPr="00F11AE4">
        <w:rPr>
          <w:color w:val="000000" w:themeColor="text1"/>
          <w:sz w:val="23"/>
          <w:szCs w:val="23"/>
        </w:rPr>
        <w:t xml:space="preserve"> </w:t>
      </w:r>
      <w:r w:rsidR="00EF6E91" w:rsidRPr="00F11AE4">
        <w:rPr>
          <w:color w:val="000000" w:themeColor="text1"/>
          <w:sz w:val="23"/>
          <w:szCs w:val="23"/>
        </w:rPr>
        <w:t xml:space="preserve">for forsikringer med rentegaranti, </w:t>
      </w:r>
      <w:r w:rsidR="005205AD" w:rsidRPr="00F11AE4">
        <w:rPr>
          <w:color w:val="000000" w:themeColor="text1"/>
          <w:sz w:val="23"/>
          <w:szCs w:val="23"/>
        </w:rPr>
        <w:t>for</w:t>
      </w:r>
      <w:r w:rsidR="00EF6E91" w:rsidRPr="00F11AE4">
        <w:rPr>
          <w:color w:val="000000" w:themeColor="text1"/>
          <w:sz w:val="23"/>
          <w:szCs w:val="23"/>
        </w:rPr>
        <w:t>delt på</w:t>
      </w:r>
      <w:r w:rsidRPr="00F11AE4">
        <w:rPr>
          <w:color w:val="000000" w:themeColor="text1"/>
          <w:sz w:val="23"/>
          <w:szCs w:val="23"/>
        </w:rPr>
        <w:t xml:space="preserve"> de ulike bransjer og for den samlede forsikringsbestand</w:t>
      </w:r>
      <w:r w:rsidR="00EF6E91" w:rsidRPr="00F11AE4">
        <w:rPr>
          <w:color w:val="000000" w:themeColor="text1"/>
          <w:sz w:val="23"/>
          <w:szCs w:val="23"/>
        </w:rPr>
        <w:t>,</w:t>
      </w:r>
      <w:r w:rsidR="00057D33" w:rsidRPr="00F11AE4">
        <w:rPr>
          <w:color w:val="000000" w:themeColor="text1"/>
          <w:sz w:val="23"/>
          <w:szCs w:val="23"/>
        </w:rPr>
        <w:t xml:space="preserve"> ved utgangen av regn</w:t>
      </w:r>
      <w:r w:rsidR="00B84770" w:rsidRPr="00F11AE4">
        <w:rPr>
          <w:color w:val="000000" w:themeColor="text1"/>
          <w:sz w:val="23"/>
          <w:szCs w:val="23"/>
        </w:rPr>
        <w:softHyphen/>
      </w:r>
      <w:r w:rsidR="00057D33" w:rsidRPr="00F11AE4">
        <w:rPr>
          <w:color w:val="000000" w:themeColor="text1"/>
          <w:sz w:val="23"/>
          <w:szCs w:val="23"/>
        </w:rPr>
        <w:t>skapsåret</w:t>
      </w:r>
      <w:r w:rsidRPr="00F11AE4">
        <w:rPr>
          <w:color w:val="000000" w:themeColor="text1"/>
          <w:sz w:val="23"/>
          <w:szCs w:val="23"/>
        </w:rPr>
        <w:t xml:space="preserve">. </w:t>
      </w:r>
      <w:r w:rsidR="00EF6E91" w:rsidRPr="00F11AE4">
        <w:rPr>
          <w:color w:val="000000" w:themeColor="text1"/>
          <w:sz w:val="23"/>
          <w:szCs w:val="23"/>
        </w:rPr>
        <w:t>Tilsvarende opplysninger skal gis der man hensyntar midler på premiefond og tilleggsavsetninger.</w:t>
      </w:r>
    </w:p>
    <w:p w:rsidR="00F11AE4" w:rsidRPr="00F11AE4" w:rsidRDefault="00F11AE4" w:rsidP="00AC4EBD">
      <w:pPr>
        <w:spacing w:before="60" w:after="60" w:line="259" w:lineRule="auto"/>
        <w:ind w:left="567" w:hanging="567"/>
        <w:rPr>
          <w:b/>
          <w:color w:val="000000" w:themeColor="text1"/>
          <w:sz w:val="16"/>
          <w:szCs w:val="16"/>
        </w:rPr>
      </w:pPr>
    </w:p>
    <w:p w:rsidR="00711C5A" w:rsidRPr="00570511" w:rsidRDefault="005006AF" w:rsidP="00AC4EBD">
      <w:pPr>
        <w:spacing w:before="60" w:after="60" w:line="259" w:lineRule="auto"/>
        <w:ind w:left="567" w:hanging="567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4</w:t>
      </w:r>
      <w:r w:rsidR="00711C5A" w:rsidRPr="00570511">
        <w:rPr>
          <w:b/>
          <w:color w:val="000000" w:themeColor="text1"/>
          <w:sz w:val="23"/>
          <w:szCs w:val="23"/>
        </w:rPr>
        <w:tab/>
        <w:t>Renteanalyse</w:t>
      </w:r>
    </w:p>
    <w:p w:rsidR="00E96163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>Det opplyses om størrelsen på selskapets kapitalavkastningsrente</w:t>
      </w:r>
      <w:r w:rsidR="00556072" w:rsidRPr="00F11AE4">
        <w:rPr>
          <w:color w:val="000000" w:themeColor="text1"/>
          <w:sz w:val="23"/>
          <w:szCs w:val="23"/>
        </w:rPr>
        <w:t xml:space="preserve"> (bokført og verdijustert)</w:t>
      </w:r>
      <w:r w:rsidRPr="00F11AE4">
        <w:rPr>
          <w:color w:val="000000" w:themeColor="text1"/>
          <w:sz w:val="23"/>
          <w:szCs w:val="23"/>
        </w:rPr>
        <w:t xml:space="preserve"> </w:t>
      </w:r>
      <w:r w:rsidR="00D553E3" w:rsidRPr="00F11AE4">
        <w:rPr>
          <w:color w:val="000000" w:themeColor="text1"/>
          <w:sz w:val="23"/>
          <w:szCs w:val="23"/>
        </w:rPr>
        <w:t xml:space="preserve">i kollektivporteføljen </w:t>
      </w:r>
      <w:r w:rsidRPr="00F11AE4">
        <w:rPr>
          <w:color w:val="000000" w:themeColor="text1"/>
          <w:sz w:val="23"/>
          <w:szCs w:val="23"/>
        </w:rPr>
        <w:t xml:space="preserve">etter </w:t>
      </w:r>
      <w:r w:rsidR="00D553E3" w:rsidRPr="00F11AE4">
        <w:rPr>
          <w:color w:val="000000" w:themeColor="text1"/>
          <w:sz w:val="23"/>
          <w:szCs w:val="23"/>
        </w:rPr>
        <w:t xml:space="preserve">regler utarbeidet av </w:t>
      </w:r>
      <w:r w:rsidR="005C2581" w:rsidRPr="00F11AE4">
        <w:rPr>
          <w:color w:val="000000" w:themeColor="text1"/>
          <w:sz w:val="23"/>
          <w:szCs w:val="23"/>
        </w:rPr>
        <w:t>Finanstilsynet</w:t>
      </w:r>
      <w:r w:rsidRPr="00F11AE4">
        <w:rPr>
          <w:color w:val="000000" w:themeColor="text1"/>
          <w:sz w:val="23"/>
          <w:szCs w:val="23"/>
        </w:rPr>
        <w:t xml:space="preserve">. </w:t>
      </w:r>
      <w:r w:rsidR="00EC1D9E" w:rsidRPr="00F11AE4">
        <w:rPr>
          <w:color w:val="000000" w:themeColor="text1"/>
          <w:sz w:val="23"/>
          <w:szCs w:val="23"/>
        </w:rPr>
        <w:t>Det opplyses videre om kapital</w:t>
      </w:r>
      <w:r w:rsidR="00570511" w:rsidRPr="00F11AE4">
        <w:rPr>
          <w:color w:val="000000" w:themeColor="text1"/>
          <w:sz w:val="23"/>
          <w:szCs w:val="23"/>
        </w:rPr>
        <w:softHyphen/>
      </w:r>
      <w:r w:rsidR="00EC1D9E" w:rsidRPr="00F11AE4">
        <w:rPr>
          <w:color w:val="000000" w:themeColor="text1"/>
          <w:sz w:val="23"/>
          <w:szCs w:val="23"/>
        </w:rPr>
        <w:t>avkastningen i eventuelle delporteføljer i kollektivporteføljen.</w:t>
      </w:r>
    </w:p>
    <w:p w:rsidR="00E96163" w:rsidRPr="00570511" w:rsidRDefault="00E96163" w:rsidP="00AC4EBD">
      <w:pPr>
        <w:spacing w:line="259" w:lineRule="auto"/>
        <w:ind w:left="567" w:hanging="567"/>
        <w:rPr>
          <w:color w:val="000000" w:themeColor="text1"/>
          <w:sz w:val="16"/>
          <w:szCs w:val="16"/>
        </w:rPr>
      </w:pPr>
    </w:p>
    <w:p w:rsidR="00EC1D9E" w:rsidRPr="00F11AE4" w:rsidRDefault="00E96163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>Det skal også gis opplysninger om avkastningen på selskapsporteføljen.</w:t>
      </w:r>
      <w:r w:rsidR="00EC1D9E" w:rsidRPr="00F11AE4">
        <w:rPr>
          <w:color w:val="000000" w:themeColor="text1"/>
          <w:sz w:val="23"/>
          <w:szCs w:val="23"/>
        </w:rPr>
        <w:t xml:space="preserve"> </w:t>
      </w:r>
    </w:p>
    <w:p w:rsidR="00563A62" w:rsidRPr="00570511" w:rsidRDefault="00563A62" w:rsidP="00AC4EBD">
      <w:pPr>
        <w:tabs>
          <w:tab w:val="left" w:pos="567"/>
        </w:tabs>
        <w:spacing w:line="259" w:lineRule="auto"/>
        <w:ind w:left="708" w:hanging="708"/>
        <w:rPr>
          <w:color w:val="000000" w:themeColor="text1"/>
          <w:sz w:val="16"/>
          <w:szCs w:val="16"/>
        </w:rPr>
      </w:pPr>
    </w:p>
    <w:p w:rsidR="00711C5A" w:rsidRPr="00570511" w:rsidRDefault="005006AF" w:rsidP="00AC4EBD">
      <w:pPr>
        <w:spacing w:before="60" w:after="60" w:line="259" w:lineRule="auto"/>
        <w:ind w:left="567" w:hanging="567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5</w:t>
      </w:r>
      <w:r w:rsidR="00711C5A" w:rsidRPr="00570511">
        <w:rPr>
          <w:b/>
          <w:color w:val="000000" w:themeColor="text1"/>
          <w:sz w:val="23"/>
          <w:szCs w:val="23"/>
        </w:rPr>
        <w:tab/>
        <w:t>Risikoanalyse</w:t>
      </w:r>
    </w:p>
    <w:p w:rsidR="00711C5A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>Det utarbeides en risikoanalyse som i tillegg til risikoresultatet på hovedbransjenivå også viser risikoresultatet fordelt på det enkelte dødelighets</w:t>
      </w:r>
      <w:r w:rsidR="00EC1D9E" w:rsidRPr="00F11AE4">
        <w:rPr>
          <w:color w:val="000000" w:themeColor="text1"/>
          <w:sz w:val="23"/>
          <w:szCs w:val="23"/>
        </w:rPr>
        <w:t>-</w:t>
      </w:r>
      <w:r w:rsidRPr="00F11AE4">
        <w:rPr>
          <w:color w:val="000000" w:themeColor="text1"/>
          <w:sz w:val="23"/>
          <w:szCs w:val="23"/>
        </w:rPr>
        <w:t xml:space="preserve"> og uføregrunnlag innen hver </w:t>
      </w:r>
      <w:r w:rsidR="00C9392E" w:rsidRPr="00F11AE4">
        <w:rPr>
          <w:color w:val="000000" w:themeColor="text1"/>
          <w:sz w:val="23"/>
          <w:szCs w:val="23"/>
        </w:rPr>
        <w:t xml:space="preserve">av de fem </w:t>
      </w:r>
      <w:proofErr w:type="spellStart"/>
      <w:r w:rsidRPr="00F11AE4">
        <w:rPr>
          <w:color w:val="000000" w:themeColor="text1"/>
          <w:sz w:val="23"/>
          <w:szCs w:val="23"/>
        </w:rPr>
        <w:t>hoved</w:t>
      </w:r>
      <w:r w:rsidR="00570511" w:rsidRPr="00F11AE4">
        <w:rPr>
          <w:color w:val="000000" w:themeColor="text1"/>
          <w:sz w:val="23"/>
          <w:szCs w:val="23"/>
        </w:rPr>
        <w:softHyphen/>
      </w:r>
      <w:r w:rsidRPr="00F11AE4">
        <w:rPr>
          <w:color w:val="000000" w:themeColor="text1"/>
          <w:sz w:val="23"/>
          <w:szCs w:val="23"/>
        </w:rPr>
        <w:t>bransje</w:t>
      </w:r>
      <w:r w:rsidR="00C9392E" w:rsidRPr="00F11AE4">
        <w:rPr>
          <w:color w:val="000000" w:themeColor="text1"/>
          <w:sz w:val="23"/>
          <w:szCs w:val="23"/>
        </w:rPr>
        <w:t>ne</w:t>
      </w:r>
      <w:proofErr w:type="spellEnd"/>
      <w:r w:rsidR="00C9392E" w:rsidRPr="00F11AE4">
        <w:rPr>
          <w:color w:val="000000" w:themeColor="text1"/>
          <w:sz w:val="23"/>
          <w:szCs w:val="23"/>
        </w:rPr>
        <w:t xml:space="preserve"> innen livsforsikring</w:t>
      </w:r>
      <w:r w:rsidRPr="00F11AE4">
        <w:rPr>
          <w:color w:val="000000" w:themeColor="text1"/>
          <w:sz w:val="23"/>
          <w:szCs w:val="23"/>
        </w:rPr>
        <w:t xml:space="preserve">. </w:t>
      </w:r>
      <w:r w:rsidR="00AD54C3" w:rsidRPr="00F11AE4">
        <w:rPr>
          <w:color w:val="000000" w:themeColor="text1"/>
          <w:sz w:val="23"/>
          <w:szCs w:val="23"/>
        </w:rPr>
        <w:t>Det opplyses videre om risikoanalyser i eventuelle delbransjer.</w:t>
      </w:r>
      <w:r w:rsidR="000A7CFD" w:rsidRPr="00F11AE4">
        <w:rPr>
          <w:color w:val="000000" w:themeColor="text1"/>
          <w:sz w:val="23"/>
          <w:szCs w:val="23"/>
        </w:rPr>
        <w:t xml:space="preserve"> </w:t>
      </w:r>
      <w:r w:rsidR="00BA6162" w:rsidRPr="00F11AE4">
        <w:rPr>
          <w:color w:val="000000" w:themeColor="text1"/>
          <w:sz w:val="23"/>
          <w:szCs w:val="23"/>
        </w:rPr>
        <w:t>Risikoanalysen skal også redegjøre for avsetninger til (evt. anvendelse av) risikoutjevnings</w:t>
      </w:r>
      <w:r w:rsidR="00F11AE4">
        <w:rPr>
          <w:color w:val="000000" w:themeColor="text1"/>
          <w:sz w:val="23"/>
          <w:szCs w:val="23"/>
        </w:rPr>
        <w:softHyphen/>
      </w:r>
      <w:r w:rsidR="00BA6162" w:rsidRPr="00F11AE4">
        <w:rPr>
          <w:color w:val="000000" w:themeColor="text1"/>
          <w:sz w:val="23"/>
          <w:szCs w:val="23"/>
        </w:rPr>
        <w:t>fondet, samt eventuelle</w:t>
      </w:r>
      <w:r w:rsidR="00057ED1" w:rsidRPr="00F11AE4">
        <w:rPr>
          <w:color w:val="000000" w:themeColor="text1"/>
          <w:sz w:val="23"/>
          <w:szCs w:val="23"/>
        </w:rPr>
        <w:t xml:space="preserve"> </w:t>
      </w:r>
      <w:r w:rsidR="00BA6162" w:rsidRPr="00F11AE4">
        <w:rPr>
          <w:color w:val="000000" w:themeColor="text1"/>
          <w:sz w:val="23"/>
          <w:szCs w:val="23"/>
        </w:rPr>
        <w:t>interne retningslinjer</w:t>
      </w:r>
      <w:r w:rsidR="00057ED1" w:rsidRPr="00F11AE4">
        <w:rPr>
          <w:color w:val="000000" w:themeColor="text1"/>
          <w:sz w:val="23"/>
          <w:szCs w:val="23"/>
        </w:rPr>
        <w:t xml:space="preserve"> </w:t>
      </w:r>
      <w:r w:rsidR="00BA6162" w:rsidRPr="00F11AE4">
        <w:rPr>
          <w:color w:val="000000" w:themeColor="text1"/>
          <w:sz w:val="23"/>
          <w:szCs w:val="23"/>
        </w:rPr>
        <w:t>for overføring til og anvendelse av fondet.</w:t>
      </w:r>
    </w:p>
    <w:p w:rsidR="00711C5A" w:rsidRPr="00570511" w:rsidRDefault="00711C5A" w:rsidP="00AC4EBD">
      <w:pPr>
        <w:tabs>
          <w:tab w:val="left" w:pos="567"/>
        </w:tabs>
        <w:spacing w:line="259" w:lineRule="auto"/>
        <w:rPr>
          <w:color w:val="000000" w:themeColor="text1"/>
          <w:sz w:val="16"/>
          <w:szCs w:val="16"/>
        </w:rPr>
      </w:pPr>
    </w:p>
    <w:p w:rsidR="00C9392E" w:rsidRPr="00F11AE4" w:rsidRDefault="00C9392E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Videre skal det gis opplysninger om utviklingen når det gjelder selskapets portefølje av forsikringer </w:t>
      </w:r>
      <w:r w:rsidR="005150C2" w:rsidRPr="00F11AE4">
        <w:rPr>
          <w:color w:val="000000" w:themeColor="text1"/>
          <w:sz w:val="23"/>
          <w:szCs w:val="23"/>
        </w:rPr>
        <w:t xml:space="preserve">som regnes som skadeforsikring </w:t>
      </w:r>
      <w:r w:rsidRPr="00F11AE4">
        <w:rPr>
          <w:color w:val="000000" w:themeColor="text1"/>
          <w:sz w:val="23"/>
          <w:szCs w:val="23"/>
        </w:rPr>
        <w:t>(</w:t>
      </w:r>
      <w:r w:rsidR="00556072" w:rsidRPr="00F11AE4">
        <w:rPr>
          <w:color w:val="000000" w:themeColor="text1"/>
          <w:sz w:val="23"/>
          <w:szCs w:val="23"/>
        </w:rPr>
        <w:t xml:space="preserve">sykdom, </w:t>
      </w:r>
      <w:r w:rsidRPr="00F11AE4">
        <w:rPr>
          <w:color w:val="000000" w:themeColor="text1"/>
          <w:sz w:val="23"/>
          <w:szCs w:val="23"/>
        </w:rPr>
        <w:t>ulykke, kritisk sykdom</w:t>
      </w:r>
      <w:r w:rsidR="00815767" w:rsidRPr="00F11AE4">
        <w:rPr>
          <w:color w:val="000000" w:themeColor="text1"/>
          <w:sz w:val="23"/>
          <w:szCs w:val="23"/>
        </w:rPr>
        <w:t xml:space="preserve"> og</w:t>
      </w:r>
      <w:r w:rsidRPr="00F11AE4">
        <w:rPr>
          <w:color w:val="000000" w:themeColor="text1"/>
          <w:sz w:val="23"/>
          <w:szCs w:val="23"/>
        </w:rPr>
        <w:t xml:space="preserve"> yrkes</w:t>
      </w:r>
      <w:r w:rsidR="00F11AE4">
        <w:rPr>
          <w:color w:val="000000" w:themeColor="text1"/>
          <w:sz w:val="23"/>
          <w:szCs w:val="23"/>
        </w:rPr>
        <w:softHyphen/>
      </w:r>
      <w:r w:rsidRPr="00F11AE4">
        <w:rPr>
          <w:color w:val="000000" w:themeColor="text1"/>
          <w:sz w:val="23"/>
          <w:szCs w:val="23"/>
        </w:rPr>
        <w:t>skadedekning).</w:t>
      </w:r>
    </w:p>
    <w:p w:rsidR="00C9392E" w:rsidRPr="00570511" w:rsidRDefault="00C9392E" w:rsidP="00AC4EBD">
      <w:pPr>
        <w:tabs>
          <w:tab w:val="left" w:pos="567"/>
        </w:tabs>
        <w:spacing w:line="259" w:lineRule="auto"/>
        <w:rPr>
          <w:b/>
          <w:color w:val="000000" w:themeColor="text1"/>
          <w:sz w:val="16"/>
          <w:szCs w:val="16"/>
        </w:rPr>
      </w:pPr>
    </w:p>
    <w:p w:rsidR="00711C5A" w:rsidRPr="00570511" w:rsidRDefault="005006AF" w:rsidP="00AC4EBD">
      <w:pPr>
        <w:spacing w:before="60" w:after="60" w:line="259" w:lineRule="auto"/>
        <w:ind w:left="567" w:hanging="567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6</w:t>
      </w:r>
      <w:r w:rsidR="00711C5A" w:rsidRPr="00570511">
        <w:rPr>
          <w:b/>
          <w:color w:val="000000" w:themeColor="text1"/>
          <w:sz w:val="23"/>
          <w:szCs w:val="23"/>
        </w:rPr>
        <w:tab/>
        <w:t>Omkostningsanalyse</w:t>
      </w:r>
    </w:p>
    <w:p w:rsidR="00711C5A" w:rsidRPr="00AC4EBD" w:rsidRDefault="005006AF" w:rsidP="00AC4EBD">
      <w:pPr>
        <w:tabs>
          <w:tab w:val="left" w:pos="567"/>
        </w:tabs>
        <w:spacing w:after="60" w:line="259" w:lineRule="auto"/>
        <w:ind w:left="709" w:hanging="709"/>
        <w:rPr>
          <w:color w:val="000000" w:themeColor="text1"/>
          <w:sz w:val="22"/>
          <w:szCs w:val="22"/>
        </w:rPr>
      </w:pPr>
      <w:r w:rsidRPr="00AC4EBD">
        <w:rPr>
          <w:color w:val="000000" w:themeColor="text1"/>
          <w:sz w:val="22"/>
          <w:szCs w:val="22"/>
        </w:rPr>
        <w:t>6</w:t>
      </w:r>
      <w:r w:rsidR="00711C5A" w:rsidRPr="00AC4EBD">
        <w:rPr>
          <w:color w:val="000000" w:themeColor="text1"/>
          <w:sz w:val="22"/>
          <w:szCs w:val="22"/>
        </w:rPr>
        <w:t>.1</w:t>
      </w:r>
      <w:r w:rsidR="00711C5A" w:rsidRPr="00AC4EBD">
        <w:rPr>
          <w:color w:val="000000" w:themeColor="text1"/>
          <w:sz w:val="22"/>
          <w:szCs w:val="22"/>
        </w:rPr>
        <w:tab/>
      </w:r>
      <w:r w:rsidR="00711C5A" w:rsidRPr="00AC4EBD">
        <w:rPr>
          <w:color w:val="000000" w:themeColor="text1"/>
          <w:sz w:val="22"/>
          <w:szCs w:val="22"/>
          <w:u w:val="single"/>
        </w:rPr>
        <w:t>Omkostningsanalyse</w:t>
      </w:r>
    </w:p>
    <w:p w:rsidR="0048102C" w:rsidRPr="00F11AE4" w:rsidRDefault="00711C5A" w:rsidP="00CD3ED3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Det </w:t>
      </w:r>
      <w:r w:rsidR="00CD3ED3" w:rsidRPr="00F11AE4">
        <w:rPr>
          <w:color w:val="000000" w:themeColor="text1"/>
          <w:sz w:val="23"/>
          <w:szCs w:val="23"/>
        </w:rPr>
        <w:t xml:space="preserve">skal </w:t>
      </w:r>
      <w:r w:rsidRPr="00F11AE4">
        <w:rPr>
          <w:color w:val="000000" w:themeColor="text1"/>
          <w:sz w:val="23"/>
          <w:szCs w:val="23"/>
        </w:rPr>
        <w:t xml:space="preserve">utarbeides en omkostningsanalyse </w:t>
      </w:r>
      <w:r w:rsidR="00CD3ED3" w:rsidRPr="00F11AE4">
        <w:rPr>
          <w:color w:val="000000" w:themeColor="text1"/>
          <w:sz w:val="23"/>
          <w:szCs w:val="23"/>
        </w:rPr>
        <w:t>(faktiske og beregningsmessige omkostninger</w:t>
      </w:r>
      <w:r w:rsidR="003106C6" w:rsidRPr="00F11AE4">
        <w:rPr>
          <w:color w:val="000000" w:themeColor="text1"/>
          <w:sz w:val="23"/>
          <w:szCs w:val="23"/>
        </w:rPr>
        <w:t xml:space="preserve"> mv.</w:t>
      </w:r>
      <w:r w:rsidR="0089785C">
        <w:rPr>
          <w:color w:val="000000" w:themeColor="text1"/>
          <w:sz w:val="23"/>
          <w:szCs w:val="23"/>
        </w:rPr>
        <w:t>, fordelt på administrasjons- og forvaltningsomkostninger</w:t>
      </w:r>
      <w:r w:rsidR="00CD3ED3" w:rsidRPr="00F11AE4">
        <w:rPr>
          <w:color w:val="000000" w:themeColor="text1"/>
          <w:sz w:val="23"/>
          <w:szCs w:val="23"/>
        </w:rPr>
        <w:t xml:space="preserve">) </w:t>
      </w:r>
      <w:r w:rsidR="003106C6" w:rsidRPr="00F11AE4">
        <w:rPr>
          <w:color w:val="000000" w:themeColor="text1"/>
          <w:sz w:val="23"/>
          <w:szCs w:val="23"/>
        </w:rPr>
        <w:t xml:space="preserve">for de ulike </w:t>
      </w:r>
      <w:r w:rsidR="00563A62" w:rsidRPr="00F11AE4">
        <w:rPr>
          <w:color w:val="000000" w:themeColor="text1"/>
          <w:sz w:val="23"/>
          <w:szCs w:val="23"/>
        </w:rPr>
        <w:t>hovedbransje</w:t>
      </w:r>
      <w:r w:rsidR="003106C6" w:rsidRPr="00F11AE4">
        <w:rPr>
          <w:color w:val="000000" w:themeColor="text1"/>
          <w:sz w:val="23"/>
          <w:szCs w:val="23"/>
        </w:rPr>
        <w:t>r</w:t>
      </w:r>
      <w:r w:rsidR="002B2160">
        <w:rPr>
          <w:color w:val="000000" w:themeColor="text1"/>
          <w:sz w:val="23"/>
          <w:szCs w:val="23"/>
        </w:rPr>
        <w:t xml:space="preserve"> og </w:t>
      </w:r>
      <w:r w:rsidR="00D553E3" w:rsidRPr="00F11AE4">
        <w:rPr>
          <w:color w:val="000000" w:themeColor="text1"/>
          <w:sz w:val="23"/>
          <w:szCs w:val="23"/>
        </w:rPr>
        <w:t>delbransje</w:t>
      </w:r>
      <w:r w:rsidR="002B2160">
        <w:rPr>
          <w:color w:val="000000" w:themeColor="text1"/>
          <w:sz w:val="23"/>
          <w:szCs w:val="23"/>
        </w:rPr>
        <w:t>r</w:t>
      </w:r>
      <w:r w:rsidRPr="00F11AE4">
        <w:rPr>
          <w:color w:val="000000" w:themeColor="text1"/>
          <w:sz w:val="23"/>
          <w:szCs w:val="23"/>
        </w:rPr>
        <w:t>.</w:t>
      </w:r>
      <w:r w:rsidR="002E1294" w:rsidRPr="00F11AE4">
        <w:rPr>
          <w:color w:val="000000" w:themeColor="text1"/>
          <w:sz w:val="23"/>
          <w:szCs w:val="23"/>
        </w:rPr>
        <w:t xml:space="preserve"> </w:t>
      </w:r>
      <w:r w:rsidR="00CD3ED3" w:rsidRPr="00F11AE4">
        <w:rPr>
          <w:color w:val="000000" w:themeColor="text1"/>
          <w:sz w:val="23"/>
          <w:szCs w:val="23"/>
        </w:rPr>
        <w:t xml:space="preserve">Det skal redegjøres for utviklingen i faktiske </w:t>
      </w:r>
      <w:r w:rsidR="003106C6" w:rsidRPr="00F11AE4">
        <w:rPr>
          <w:color w:val="000000" w:themeColor="text1"/>
          <w:sz w:val="23"/>
          <w:szCs w:val="23"/>
        </w:rPr>
        <w:t>kost</w:t>
      </w:r>
      <w:r w:rsidR="002B2160">
        <w:rPr>
          <w:color w:val="000000" w:themeColor="text1"/>
          <w:sz w:val="23"/>
          <w:szCs w:val="23"/>
        </w:rPr>
        <w:softHyphen/>
      </w:r>
      <w:r w:rsidR="003106C6" w:rsidRPr="00F11AE4">
        <w:rPr>
          <w:color w:val="000000" w:themeColor="text1"/>
          <w:sz w:val="23"/>
          <w:szCs w:val="23"/>
        </w:rPr>
        <w:t xml:space="preserve">nader </w:t>
      </w:r>
      <w:r w:rsidR="00CD3ED3" w:rsidRPr="00F11AE4">
        <w:rPr>
          <w:color w:val="000000" w:themeColor="text1"/>
          <w:sz w:val="23"/>
          <w:szCs w:val="23"/>
        </w:rPr>
        <w:t>i forhold til de beregnings</w:t>
      </w:r>
      <w:r w:rsidR="00CD3ED3" w:rsidRPr="00F11AE4">
        <w:rPr>
          <w:color w:val="000000" w:themeColor="text1"/>
          <w:sz w:val="23"/>
          <w:szCs w:val="23"/>
        </w:rPr>
        <w:softHyphen/>
        <w:t>messige omkostninger for de ulike hovedbransjer og delbransjer.</w:t>
      </w:r>
    </w:p>
    <w:p w:rsidR="007C77A4" w:rsidRPr="00CD3ED3" w:rsidRDefault="007C77A4" w:rsidP="00AC4EBD">
      <w:pPr>
        <w:spacing w:line="259" w:lineRule="auto"/>
        <w:ind w:left="567"/>
        <w:rPr>
          <w:color w:val="000000" w:themeColor="text1"/>
          <w:sz w:val="16"/>
          <w:szCs w:val="16"/>
        </w:rPr>
      </w:pPr>
    </w:p>
    <w:p w:rsidR="00AB133F" w:rsidRPr="00F11AE4" w:rsidRDefault="00AB133F" w:rsidP="00AC4EBD">
      <w:pPr>
        <w:spacing w:line="259" w:lineRule="auto"/>
        <w:ind w:left="567"/>
        <w:rPr>
          <w:color w:val="000000" w:themeColor="text1"/>
          <w:sz w:val="23"/>
          <w:szCs w:val="23"/>
        </w:rPr>
      </w:pPr>
      <w:r w:rsidRPr="00F11AE4">
        <w:rPr>
          <w:color w:val="000000" w:themeColor="text1"/>
          <w:sz w:val="23"/>
          <w:szCs w:val="23"/>
        </w:rPr>
        <w:t xml:space="preserve">Videre skal det opplyses om omkostningenes andel av samlet premiereserve i prosent for hver enkelt hovedbransje </w:t>
      </w:r>
      <w:r w:rsidR="009A3E3D" w:rsidRPr="00F11AE4">
        <w:rPr>
          <w:color w:val="000000" w:themeColor="text1"/>
          <w:sz w:val="23"/>
          <w:szCs w:val="23"/>
        </w:rPr>
        <w:t xml:space="preserve">over en tidsperiode på minimum </w:t>
      </w:r>
      <w:r w:rsidR="00813C21" w:rsidRPr="00F11AE4">
        <w:rPr>
          <w:color w:val="000000" w:themeColor="text1"/>
          <w:sz w:val="23"/>
          <w:szCs w:val="23"/>
        </w:rPr>
        <w:t>fire</w:t>
      </w:r>
      <w:r w:rsidR="009A3E3D" w:rsidRPr="00F11AE4">
        <w:rPr>
          <w:color w:val="000000" w:themeColor="text1"/>
          <w:sz w:val="23"/>
          <w:szCs w:val="23"/>
        </w:rPr>
        <w:t xml:space="preserve"> år</w:t>
      </w:r>
      <w:r w:rsidR="00813C21" w:rsidRPr="00F11AE4">
        <w:rPr>
          <w:color w:val="000000" w:themeColor="text1"/>
          <w:sz w:val="23"/>
          <w:szCs w:val="23"/>
        </w:rPr>
        <w:t xml:space="preserve">. </w:t>
      </w:r>
      <w:r w:rsidR="00EB728B" w:rsidRPr="00F11AE4">
        <w:rPr>
          <w:color w:val="000000" w:themeColor="text1"/>
          <w:sz w:val="23"/>
          <w:szCs w:val="23"/>
        </w:rPr>
        <w:t xml:space="preserve">Det </w:t>
      </w:r>
      <w:r w:rsidR="00A07FA1" w:rsidRPr="00F11AE4">
        <w:rPr>
          <w:color w:val="000000" w:themeColor="text1"/>
          <w:sz w:val="23"/>
          <w:szCs w:val="23"/>
        </w:rPr>
        <w:t xml:space="preserve">skal angis om </w:t>
      </w:r>
      <w:r w:rsidR="00E34A9E" w:rsidRPr="00F11AE4">
        <w:rPr>
          <w:color w:val="000000" w:themeColor="text1"/>
          <w:sz w:val="23"/>
          <w:szCs w:val="23"/>
        </w:rPr>
        <w:t xml:space="preserve">rene </w:t>
      </w:r>
      <w:r w:rsidRPr="00F11AE4">
        <w:rPr>
          <w:color w:val="000000" w:themeColor="text1"/>
          <w:sz w:val="23"/>
          <w:szCs w:val="23"/>
        </w:rPr>
        <w:t>risiko</w:t>
      </w:r>
      <w:r w:rsidR="009A3E3D" w:rsidRPr="00F11AE4">
        <w:rPr>
          <w:color w:val="000000" w:themeColor="text1"/>
          <w:sz w:val="23"/>
          <w:szCs w:val="23"/>
        </w:rPr>
        <w:softHyphen/>
      </w:r>
      <w:r w:rsidRPr="00F11AE4">
        <w:rPr>
          <w:color w:val="000000" w:themeColor="text1"/>
          <w:sz w:val="23"/>
          <w:szCs w:val="23"/>
        </w:rPr>
        <w:t>forsikringer</w:t>
      </w:r>
      <w:r w:rsidR="00EB728B" w:rsidRPr="00F11AE4">
        <w:rPr>
          <w:color w:val="000000" w:themeColor="text1"/>
          <w:sz w:val="23"/>
          <w:szCs w:val="23"/>
        </w:rPr>
        <w:t xml:space="preserve"> og forsikringer u</w:t>
      </w:r>
      <w:r w:rsidR="00813C21" w:rsidRPr="00F11AE4">
        <w:rPr>
          <w:color w:val="000000" w:themeColor="text1"/>
          <w:sz w:val="23"/>
          <w:szCs w:val="23"/>
        </w:rPr>
        <w:t xml:space="preserve">ten </w:t>
      </w:r>
      <w:r w:rsidR="00A07FA1" w:rsidRPr="00F11AE4">
        <w:rPr>
          <w:color w:val="000000" w:themeColor="text1"/>
          <w:sz w:val="23"/>
          <w:szCs w:val="23"/>
        </w:rPr>
        <w:t xml:space="preserve">rett til andel av selskapets </w:t>
      </w:r>
      <w:r w:rsidR="00813C21" w:rsidRPr="00F11AE4">
        <w:rPr>
          <w:color w:val="000000" w:themeColor="text1"/>
          <w:sz w:val="23"/>
          <w:szCs w:val="23"/>
        </w:rPr>
        <w:t>overskudd</w:t>
      </w:r>
      <w:r w:rsidR="00A07FA1" w:rsidRPr="00F11AE4">
        <w:rPr>
          <w:color w:val="000000" w:themeColor="text1"/>
          <w:sz w:val="23"/>
          <w:szCs w:val="23"/>
        </w:rPr>
        <w:t xml:space="preserve"> inngår i beregningene</w:t>
      </w:r>
      <w:r w:rsidR="00813C21" w:rsidRPr="00F11AE4">
        <w:rPr>
          <w:color w:val="000000" w:themeColor="text1"/>
          <w:sz w:val="23"/>
          <w:szCs w:val="23"/>
        </w:rPr>
        <w:t>.</w:t>
      </w:r>
    </w:p>
    <w:p w:rsidR="00AB133F" w:rsidRPr="00570511" w:rsidRDefault="00AB133F" w:rsidP="00AC4EBD">
      <w:pPr>
        <w:spacing w:line="259" w:lineRule="auto"/>
        <w:ind w:left="567"/>
        <w:rPr>
          <w:color w:val="000000" w:themeColor="text1"/>
          <w:sz w:val="16"/>
          <w:szCs w:val="16"/>
        </w:rPr>
      </w:pPr>
    </w:p>
    <w:p w:rsidR="00711C5A" w:rsidRPr="00F11AE4" w:rsidRDefault="00711C5A" w:rsidP="00AC4EBD">
      <w:pPr>
        <w:spacing w:line="259" w:lineRule="auto"/>
        <w:ind w:left="567"/>
        <w:rPr>
          <w:color w:val="000000" w:themeColor="text1"/>
          <w:sz w:val="23"/>
          <w:szCs w:val="23"/>
        </w:rPr>
      </w:pPr>
      <w:r w:rsidRPr="00F11AE4">
        <w:rPr>
          <w:color w:val="000000" w:themeColor="text1"/>
          <w:sz w:val="23"/>
          <w:szCs w:val="23"/>
        </w:rPr>
        <w:t xml:space="preserve">Det skal </w:t>
      </w:r>
      <w:r w:rsidR="007C77A4" w:rsidRPr="00F11AE4">
        <w:rPr>
          <w:color w:val="000000" w:themeColor="text1"/>
          <w:sz w:val="23"/>
          <w:szCs w:val="23"/>
        </w:rPr>
        <w:t xml:space="preserve">spesielt </w:t>
      </w:r>
      <w:r w:rsidRPr="00F11AE4">
        <w:rPr>
          <w:color w:val="000000" w:themeColor="text1"/>
          <w:sz w:val="23"/>
          <w:szCs w:val="23"/>
        </w:rPr>
        <w:t>opplyses hvordan eventuel</w:t>
      </w:r>
      <w:r w:rsidR="00AB133F" w:rsidRPr="00F11AE4">
        <w:rPr>
          <w:color w:val="000000" w:themeColor="text1"/>
          <w:sz w:val="23"/>
          <w:szCs w:val="23"/>
        </w:rPr>
        <w:t>t</w:t>
      </w:r>
      <w:r w:rsidRPr="00F11AE4">
        <w:rPr>
          <w:color w:val="000000" w:themeColor="text1"/>
          <w:sz w:val="23"/>
          <w:szCs w:val="23"/>
        </w:rPr>
        <w:t xml:space="preserve"> omkostningsunderskudd inndekkes for det tilfelle at underskuddet er større enn overskuddet på de øvrige beregningselementer </w:t>
      </w:r>
      <w:r w:rsidR="00CD500E" w:rsidRPr="00F11AE4">
        <w:rPr>
          <w:color w:val="000000" w:themeColor="text1"/>
          <w:sz w:val="23"/>
          <w:szCs w:val="23"/>
        </w:rPr>
        <w:t xml:space="preserve">for </w:t>
      </w:r>
      <w:r w:rsidR="00D553E3" w:rsidRPr="00F11AE4">
        <w:rPr>
          <w:color w:val="000000" w:themeColor="text1"/>
          <w:sz w:val="23"/>
          <w:szCs w:val="23"/>
        </w:rPr>
        <w:t xml:space="preserve">individuelle forsikringsbransjer </w:t>
      </w:r>
      <w:r w:rsidR="00CD500E" w:rsidRPr="00F11AE4">
        <w:rPr>
          <w:color w:val="000000" w:themeColor="text1"/>
          <w:sz w:val="23"/>
          <w:szCs w:val="23"/>
        </w:rPr>
        <w:t>inngått før 2008</w:t>
      </w:r>
      <w:r w:rsidR="00D553E3" w:rsidRPr="00F11AE4">
        <w:rPr>
          <w:color w:val="000000" w:themeColor="text1"/>
          <w:sz w:val="23"/>
          <w:szCs w:val="23"/>
        </w:rPr>
        <w:t>.</w:t>
      </w:r>
    </w:p>
    <w:p w:rsidR="00057ED1" w:rsidRPr="00AC4EBD" w:rsidRDefault="00057ED1" w:rsidP="00AC4EBD">
      <w:pPr>
        <w:tabs>
          <w:tab w:val="left" w:pos="567"/>
        </w:tabs>
        <w:spacing w:line="259" w:lineRule="auto"/>
        <w:ind w:left="708" w:hanging="708"/>
        <w:rPr>
          <w:color w:val="000000" w:themeColor="text1"/>
          <w:sz w:val="22"/>
          <w:szCs w:val="22"/>
        </w:rPr>
      </w:pPr>
    </w:p>
    <w:p w:rsidR="00711C5A" w:rsidRPr="00AC4EBD" w:rsidRDefault="005006AF" w:rsidP="00AC4EBD">
      <w:pPr>
        <w:tabs>
          <w:tab w:val="left" w:pos="567"/>
        </w:tabs>
        <w:spacing w:after="60" w:line="259" w:lineRule="auto"/>
        <w:ind w:left="709" w:hanging="709"/>
        <w:rPr>
          <w:color w:val="000000" w:themeColor="text1"/>
          <w:sz w:val="22"/>
          <w:szCs w:val="22"/>
        </w:rPr>
      </w:pPr>
      <w:r w:rsidRPr="00AC4EBD">
        <w:rPr>
          <w:color w:val="000000" w:themeColor="text1"/>
          <w:sz w:val="22"/>
          <w:szCs w:val="22"/>
        </w:rPr>
        <w:t>6</w:t>
      </w:r>
      <w:r w:rsidR="00711C5A" w:rsidRPr="00AC4EBD">
        <w:rPr>
          <w:color w:val="000000" w:themeColor="text1"/>
          <w:sz w:val="22"/>
          <w:szCs w:val="22"/>
        </w:rPr>
        <w:t>.2</w:t>
      </w:r>
      <w:r w:rsidR="00711C5A" w:rsidRPr="00AC4EBD">
        <w:rPr>
          <w:color w:val="000000" w:themeColor="text1"/>
          <w:sz w:val="22"/>
          <w:szCs w:val="22"/>
        </w:rPr>
        <w:tab/>
      </w:r>
      <w:r w:rsidR="00711C5A" w:rsidRPr="00AC4EBD">
        <w:rPr>
          <w:color w:val="000000" w:themeColor="text1"/>
          <w:sz w:val="22"/>
          <w:szCs w:val="22"/>
          <w:u w:val="single"/>
        </w:rPr>
        <w:t>Fordeling av faktiske omkostninger</w:t>
      </w:r>
    </w:p>
    <w:p w:rsidR="00711C5A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Aktuaren redegjør for og kommenterer de fordelingsnøkler selskapet anvender ved fordeling av selskapets totale faktiske omkostninger mellom de enkelte hovedbransjer og mellom de største produktgrupper i </w:t>
      </w:r>
      <w:proofErr w:type="spellStart"/>
      <w:r w:rsidRPr="00F11AE4">
        <w:rPr>
          <w:color w:val="000000" w:themeColor="text1"/>
          <w:sz w:val="23"/>
          <w:szCs w:val="23"/>
        </w:rPr>
        <w:t>hovedbransjene</w:t>
      </w:r>
      <w:proofErr w:type="spellEnd"/>
      <w:r w:rsidRPr="00F11AE4">
        <w:rPr>
          <w:color w:val="000000" w:themeColor="text1"/>
          <w:sz w:val="23"/>
          <w:szCs w:val="23"/>
        </w:rPr>
        <w:t>.</w:t>
      </w:r>
      <w:r w:rsidR="009A3E3D" w:rsidRPr="00F11AE4">
        <w:rPr>
          <w:color w:val="000000" w:themeColor="text1"/>
          <w:sz w:val="23"/>
          <w:szCs w:val="23"/>
        </w:rPr>
        <w:t xml:space="preserve"> Det skal herunder redegjøres for fordeling av omkostninger på produkter uten rett til andel av overskuddet.</w:t>
      </w:r>
    </w:p>
    <w:p w:rsidR="0048102C" w:rsidRPr="00AC4EBD" w:rsidRDefault="0048102C" w:rsidP="00AC4EBD">
      <w:pPr>
        <w:tabs>
          <w:tab w:val="left" w:pos="567"/>
        </w:tabs>
        <w:spacing w:line="259" w:lineRule="auto"/>
        <w:ind w:left="709" w:hanging="709"/>
        <w:rPr>
          <w:color w:val="000000" w:themeColor="text1"/>
          <w:sz w:val="22"/>
          <w:szCs w:val="22"/>
        </w:rPr>
      </w:pPr>
    </w:p>
    <w:p w:rsidR="00711C5A" w:rsidRPr="00AC4EBD" w:rsidRDefault="005006AF" w:rsidP="00AC4EBD">
      <w:pPr>
        <w:tabs>
          <w:tab w:val="left" w:pos="567"/>
        </w:tabs>
        <w:spacing w:after="60" w:line="259" w:lineRule="auto"/>
        <w:ind w:left="709" w:hanging="709"/>
        <w:rPr>
          <w:color w:val="000000" w:themeColor="text1"/>
          <w:sz w:val="22"/>
          <w:szCs w:val="22"/>
        </w:rPr>
      </w:pPr>
      <w:r w:rsidRPr="00AC4EBD">
        <w:rPr>
          <w:color w:val="000000" w:themeColor="text1"/>
          <w:sz w:val="22"/>
          <w:szCs w:val="22"/>
        </w:rPr>
        <w:t>6</w:t>
      </w:r>
      <w:r w:rsidR="00711C5A" w:rsidRPr="00AC4EBD">
        <w:rPr>
          <w:color w:val="000000" w:themeColor="text1"/>
          <w:sz w:val="22"/>
          <w:szCs w:val="22"/>
        </w:rPr>
        <w:t>.3</w:t>
      </w:r>
      <w:r w:rsidR="00711C5A" w:rsidRPr="00AC4EBD">
        <w:rPr>
          <w:color w:val="000000" w:themeColor="text1"/>
          <w:sz w:val="22"/>
          <w:szCs w:val="22"/>
        </w:rPr>
        <w:tab/>
      </w:r>
      <w:r w:rsidR="00711C5A" w:rsidRPr="00AC4EBD">
        <w:rPr>
          <w:color w:val="000000" w:themeColor="text1"/>
          <w:sz w:val="22"/>
          <w:szCs w:val="22"/>
          <w:u w:val="single"/>
        </w:rPr>
        <w:t>Administrasjonsreserve</w:t>
      </w:r>
    </w:p>
    <w:p w:rsidR="00562B2D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>Aktuaren gir en vurdering av administrasjonsreservens størrelse sammenholdt med den andel av selskapets fremtidige administrasjonsomkostninger som forutsetningsvis skal dekkes av administrasjonsreserven</w:t>
      </w:r>
      <w:r w:rsidR="00562B2D" w:rsidRPr="00F11AE4">
        <w:rPr>
          <w:color w:val="000000" w:themeColor="text1"/>
          <w:sz w:val="23"/>
          <w:szCs w:val="23"/>
        </w:rPr>
        <w:t xml:space="preserve"> for fripoliser og pensjonskapitalbevis og andre fullt betalte forsikringer</w:t>
      </w:r>
      <w:r w:rsidRPr="00F11AE4">
        <w:rPr>
          <w:color w:val="000000" w:themeColor="text1"/>
          <w:sz w:val="23"/>
          <w:szCs w:val="23"/>
        </w:rPr>
        <w:t>.</w:t>
      </w:r>
    </w:p>
    <w:p w:rsidR="00562B2D" w:rsidRPr="00570511" w:rsidRDefault="00562B2D" w:rsidP="00AC4EBD">
      <w:pPr>
        <w:spacing w:line="259" w:lineRule="auto"/>
        <w:ind w:left="567" w:hanging="567"/>
        <w:rPr>
          <w:color w:val="000000" w:themeColor="text1"/>
          <w:sz w:val="16"/>
          <w:szCs w:val="16"/>
        </w:rPr>
      </w:pPr>
    </w:p>
    <w:p w:rsidR="00562B2D" w:rsidRPr="00F11AE4" w:rsidRDefault="00562B2D" w:rsidP="00AC4EBD">
      <w:pPr>
        <w:spacing w:line="259" w:lineRule="auto"/>
        <w:ind w:left="567"/>
        <w:rPr>
          <w:color w:val="000000" w:themeColor="text1"/>
          <w:sz w:val="23"/>
          <w:szCs w:val="23"/>
        </w:rPr>
      </w:pPr>
      <w:r w:rsidRPr="00F11AE4">
        <w:rPr>
          <w:color w:val="000000" w:themeColor="text1"/>
          <w:sz w:val="23"/>
          <w:szCs w:val="23"/>
        </w:rPr>
        <w:t xml:space="preserve">Det skal også opplyses om </w:t>
      </w:r>
      <w:r w:rsidR="00BD7621" w:rsidRPr="00F11AE4">
        <w:rPr>
          <w:color w:val="000000" w:themeColor="text1"/>
          <w:sz w:val="23"/>
          <w:szCs w:val="23"/>
        </w:rPr>
        <w:t xml:space="preserve">praksis hva gjelder </w:t>
      </w:r>
      <w:r w:rsidRPr="00F11AE4">
        <w:rPr>
          <w:color w:val="000000" w:themeColor="text1"/>
          <w:sz w:val="23"/>
          <w:szCs w:val="23"/>
        </w:rPr>
        <w:t xml:space="preserve">bruk av administrasjonsreserve i kollektiv pensjon, </w:t>
      </w:r>
      <w:r w:rsidR="00BD7621" w:rsidRPr="00F11AE4">
        <w:rPr>
          <w:color w:val="000000" w:themeColor="text1"/>
          <w:sz w:val="23"/>
          <w:szCs w:val="23"/>
        </w:rPr>
        <w:t xml:space="preserve">bl.a. i hvilken utstrekning </w:t>
      </w:r>
      <w:r w:rsidR="000835E9" w:rsidRPr="00F11AE4">
        <w:rPr>
          <w:color w:val="000000" w:themeColor="text1"/>
          <w:sz w:val="23"/>
          <w:szCs w:val="23"/>
        </w:rPr>
        <w:t>omkostninger dekkes fra administrasjonsreserve eller gjennom årlige premier.</w:t>
      </w:r>
    </w:p>
    <w:p w:rsidR="00570511" w:rsidRPr="00F11AE4" w:rsidRDefault="00570511" w:rsidP="00AC4EBD">
      <w:pPr>
        <w:spacing w:line="259" w:lineRule="auto"/>
        <w:ind w:left="567"/>
        <w:rPr>
          <w:color w:val="000000" w:themeColor="text1"/>
          <w:sz w:val="16"/>
          <w:szCs w:val="16"/>
        </w:rPr>
      </w:pPr>
    </w:p>
    <w:p w:rsidR="00F11AE4" w:rsidRPr="00F11AE4" w:rsidRDefault="00F11AE4" w:rsidP="00AC4EBD">
      <w:pPr>
        <w:spacing w:line="259" w:lineRule="auto"/>
        <w:ind w:left="567"/>
        <w:rPr>
          <w:color w:val="000000" w:themeColor="text1"/>
          <w:sz w:val="16"/>
          <w:szCs w:val="16"/>
        </w:rPr>
      </w:pPr>
    </w:p>
    <w:p w:rsidR="00F11AE4" w:rsidRDefault="00F11AE4" w:rsidP="00AC4EBD">
      <w:pPr>
        <w:tabs>
          <w:tab w:val="left" w:pos="567"/>
        </w:tabs>
        <w:spacing w:before="60" w:after="60" w:line="259" w:lineRule="auto"/>
        <w:rPr>
          <w:b/>
          <w:color w:val="000000" w:themeColor="text1"/>
          <w:sz w:val="16"/>
          <w:szCs w:val="16"/>
        </w:rPr>
      </w:pPr>
    </w:p>
    <w:p w:rsidR="002B2160" w:rsidRPr="00F11AE4" w:rsidRDefault="002B2160" w:rsidP="00AC4EBD">
      <w:pPr>
        <w:tabs>
          <w:tab w:val="left" w:pos="567"/>
        </w:tabs>
        <w:spacing w:before="60" w:after="60" w:line="259" w:lineRule="auto"/>
        <w:rPr>
          <w:b/>
          <w:color w:val="000000" w:themeColor="text1"/>
          <w:sz w:val="16"/>
          <w:szCs w:val="16"/>
        </w:rPr>
      </w:pPr>
    </w:p>
    <w:p w:rsidR="00711C5A" w:rsidRPr="00570511" w:rsidRDefault="005006AF" w:rsidP="00AC4EBD">
      <w:pPr>
        <w:tabs>
          <w:tab w:val="left" w:pos="567"/>
        </w:tabs>
        <w:spacing w:before="60" w:after="60" w:line="259" w:lineRule="auto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7</w:t>
      </w:r>
      <w:r w:rsidR="00711C5A" w:rsidRPr="00570511">
        <w:rPr>
          <w:b/>
          <w:color w:val="000000" w:themeColor="text1"/>
          <w:sz w:val="23"/>
          <w:szCs w:val="23"/>
        </w:rPr>
        <w:tab/>
        <w:t>Beregningsgrunnlagenes sikkerhetsmarginer</w:t>
      </w:r>
    </w:p>
    <w:p w:rsidR="00711C5A" w:rsidRPr="00F11AE4" w:rsidRDefault="00711C5A" w:rsidP="00AC4EBD">
      <w:pPr>
        <w:spacing w:line="259" w:lineRule="auto"/>
        <w:ind w:left="567" w:hanging="566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Aktuaren skal opplyse hvorvidt elementene i selskapets ulike </w:t>
      </w:r>
      <w:r w:rsidR="00B31DB1" w:rsidRPr="00F11AE4">
        <w:rPr>
          <w:color w:val="000000" w:themeColor="text1"/>
          <w:sz w:val="23"/>
          <w:szCs w:val="23"/>
        </w:rPr>
        <w:t xml:space="preserve">forsikringstekniske </w:t>
      </w:r>
      <w:r w:rsidRPr="00F11AE4">
        <w:rPr>
          <w:color w:val="000000" w:themeColor="text1"/>
          <w:sz w:val="23"/>
          <w:szCs w:val="23"/>
        </w:rPr>
        <w:t>beregnings</w:t>
      </w:r>
      <w:r w:rsidRPr="00F11AE4">
        <w:rPr>
          <w:color w:val="000000" w:themeColor="text1"/>
          <w:sz w:val="23"/>
          <w:szCs w:val="23"/>
        </w:rPr>
        <w:softHyphen/>
        <w:t>grunnlag fortsatt har de nødvendige sikkerhetsmargin</w:t>
      </w:r>
      <w:r w:rsidR="00CD5645" w:rsidRPr="00F11AE4">
        <w:rPr>
          <w:color w:val="000000" w:themeColor="text1"/>
          <w:sz w:val="23"/>
          <w:szCs w:val="23"/>
        </w:rPr>
        <w:t>er</w:t>
      </w:r>
      <w:r w:rsidRPr="00F11AE4">
        <w:rPr>
          <w:color w:val="000000" w:themeColor="text1"/>
          <w:sz w:val="23"/>
          <w:szCs w:val="23"/>
        </w:rPr>
        <w:t xml:space="preserve">. Det kan ses bort fra </w:t>
      </w:r>
      <w:r w:rsidR="00CD500E" w:rsidRPr="00F11AE4">
        <w:rPr>
          <w:color w:val="000000" w:themeColor="text1"/>
          <w:sz w:val="23"/>
          <w:szCs w:val="23"/>
        </w:rPr>
        <w:t>beregnings</w:t>
      </w:r>
      <w:r w:rsidR="00B31DB1" w:rsidRPr="00F11AE4">
        <w:rPr>
          <w:color w:val="000000" w:themeColor="text1"/>
          <w:sz w:val="23"/>
          <w:szCs w:val="23"/>
        </w:rPr>
        <w:softHyphen/>
      </w:r>
      <w:r w:rsidR="00CD500E" w:rsidRPr="00F11AE4">
        <w:rPr>
          <w:color w:val="000000" w:themeColor="text1"/>
          <w:sz w:val="23"/>
          <w:szCs w:val="23"/>
        </w:rPr>
        <w:t xml:space="preserve">elementer </w:t>
      </w:r>
      <w:r w:rsidRPr="00F11AE4">
        <w:rPr>
          <w:color w:val="000000" w:themeColor="text1"/>
          <w:sz w:val="23"/>
          <w:szCs w:val="23"/>
        </w:rPr>
        <w:t>av liten økonomisk betydning for selskapet.</w:t>
      </w:r>
    </w:p>
    <w:p w:rsidR="00EF7C9A" w:rsidRDefault="00EF7C9A" w:rsidP="00AC4EBD">
      <w:pPr>
        <w:tabs>
          <w:tab w:val="left" w:pos="567"/>
        </w:tabs>
        <w:spacing w:line="259" w:lineRule="auto"/>
        <w:rPr>
          <w:b/>
          <w:color w:val="000000" w:themeColor="text1"/>
          <w:sz w:val="16"/>
          <w:szCs w:val="16"/>
        </w:rPr>
      </w:pPr>
    </w:p>
    <w:p w:rsidR="00711C5A" w:rsidRPr="00570511" w:rsidRDefault="005006AF" w:rsidP="00AC4EBD">
      <w:pPr>
        <w:spacing w:before="60" w:after="60" w:line="259" w:lineRule="auto"/>
        <w:ind w:left="567" w:hanging="567"/>
        <w:rPr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8</w:t>
      </w:r>
      <w:r w:rsidR="00711C5A" w:rsidRPr="00570511">
        <w:rPr>
          <w:b/>
          <w:color w:val="000000" w:themeColor="text1"/>
          <w:sz w:val="23"/>
          <w:szCs w:val="23"/>
        </w:rPr>
        <w:tab/>
        <w:t>Tilpasning mellom eiendeler og forsikringsmessige forpliktelser</w:t>
      </w:r>
    </w:p>
    <w:p w:rsidR="00711C5A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>Aktuaren gir kommentarer til hvordan selskapets kapitalplasseringer svarer til selskapets forsikrings</w:t>
      </w:r>
      <w:r w:rsidR="00570511" w:rsidRPr="00F11AE4">
        <w:rPr>
          <w:color w:val="000000" w:themeColor="text1"/>
          <w:sz w:val="23"/>
          <w:szCs w:val="23"/>
        </w:rPr>
        <w:softHyphen/>
      </w:r>
      <w:r w:rsidRPr="00F11AE4">
        <w:rPr>
          <w:color w:val="000000" w:themeColor="text1"/>
          <w:sz w:val="23"/>
          <w:szCs w:val="23"/>
        </w:rPr>
        <w:t xml:space="preserve">messige forpliktelser og risikoer, hensett til avkastning, innfrielsesprofil og varighet på de ulike eiendelsposter. </w:t>
      </w:r>
      <w:r w:rsidR="00343C9F" w:rsidRPr="00F11AE4">
        <w:rPr>
          <w:color w:val="000000" w:themeColor="text1"/>
          <w:sz w:val="23"/>
          <w:szCs w:val="23"/>
        </w:rPr>
        <w:t>Det skal gis særskilt omtale av ALM-analyser selskapet har foretatt (evt. også på delporteføljer i kollektivporteføljen).</w:t>
      </w:r>
    </w:p>
    <w:p w:rsidR="00711C5A" w:rsidRPr="00570511" w:rsidRDefault="00711C5A" w:rsidP="00AC4EBD">
      <w:pPr>
        <w:tabs>
          <w:tab w:val="left" w:pos="567"/>
        </w:tabs>
        <w:spacing w:line="259" w:lineRule="auto"/>
        <w:ind w:left="708" w:hanging="708"/>
        <w:rPr>
          <w:color w:val="000000" w:themeColor="text1"/>
          <w:sz w:val="16"/>
          <w:szCs w:val="16"/>
        </w:rPr>
      </w:pPr>
    </w:p>
    <w:p w:rsidR="00711C5A" w:rsidRPr="00570511" w:rsidRDefault="005006AF" w:rsidP="00AC4EBD">
      <w:pPr>
        <w:spacing w:before="60" w:after="60" w:line="259" w:lineRule="auto"/>
        <w:ind w:left="567" w:hanging="567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9</w:t>
      </w:r>
      <w:r w:rsidR="00711C5A" w:rsidRPr="00570511">
        <w:rPr>
          <w:b/>
          <w:color w:val="000000" w:themeColor="text1"/>
          <w:sz w:val="23"/>
          <w:szCs w:val="23"/>
        </w:rPr>
        <w:tab/>
        <w:t>Andre analyser</w:t>
      </w:r>
    </w:p>
    <w:p w:rsidR="00711C5A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Det redegjøres for spesielle analyser som aktuaren har foretatt, og eventuelle andre opplysninger som aktuaren er kjent med, og som har betydning ved vurdering av selskapets </w:t>
      </w:r>
      <w:proofErr w:type="spellStart"/>
      <w:r w:rsidRPr="00F11AE4">
        <w:rPr>
          <w:color w:val="000000" w:themeColor="text1"/>
          <w:sz w:val="23"/>
          <w:szCs w:val="23"/>
        </w:rPr>
        <w:t>soliditetsmessige</w:t>
      </w:r>
      <w:proofErr w:type="spellEnd"/>
      <w:r w:rsidRPr="00F11AE4">
        <w:rPr>
          <w:color w:val="000000" w:themeColor="text1"/>
          <w:sz w:val="23"/>
          <w:szCs w:val="23"/>
        </w:rPr>
        <w:t xml:space="preserve"> status på forsikringsteknisk grunnlag.</w:t>
      </w:r>
    </w:p>
    <w:p w:rsidR="0074755A" w:rsidRPr="00570511" w:rsidRDefault="0074755A" w:rsidP="00AC4EBD">
      <w:pPr>
        <w:spacing w:line="259" w:lineRule="auto"/>
        <w:ind w:left="567" w:hanging="567"/>
        <w:rPr>
          <w:color w:val="000000" w:themeColor="text1"/>
          <w:sz w:val="16"/>
          <w:szCs w:val="16"/>
        </w:rPr>
      </w:pPr>
    </w:p>
    <w:p w:rsidR="00480FD2" w:rsidRPr="00F11AE4" w:rsidRDefault="006E3BD8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="00E30016" w:rsidRPr="00F11AE4">
        <w:rPr>
          <w:color w:val="000000" w:themeColor="text1"/>
          <w:sz w:val="23"/>
          <w:szCs w:val="23"/>
        </w:rPr>
        <w:t xml:space="preserve">For det tilfelle at </w:t>
      </w:r>
      <w:r w:rsidR="005C2581" w:rsidRPr="00F11AE4">
        <w:rPr>
          <w:color w:val="000000" w:themeColor="text1"/>
          <w:sz w:val="23"/>
          <w:szCs w:val="23"/>
        </w:rPr>
        <w:t>Finanstilsynet</w:t>
      </w:r>
      <w:r w:rsidR="00E30016" w:rsidRPr="00F11AE4">
        <w:rPr>
          <w:color w:val="000000" w:themeColor="text1"/>
          <w:sz w:val="23"/>
          <w:szCs w:val="23"/>
        </w:rPr>
        <w:t>s seneste modell for risikobasert tilsyn gir opphav til særskilte utfordringer for selskapet, skal det gis e</w:t>
      </w:r>
      <w:r w:rsidR="00BD0739" w:rsidRPr="00F11AE4">
        <w:rPr>
          <w:color w:val="000000" w:themeColor="text1"/>
          <w:sz w:val="23"/>
          <w:szCs w:val="23"/>
        </w:rPr>
        <w:t>n redegjørelse om dette.</w:t>
      </w:r>
    </w:p>
    <w:p w:rsidR="005C2581" w:rsidRPr="00570511" w:rsidRDefault="005C2581" w:rsidP="00AC4EBD">
      <w:pPr>
        <w:spacing w:line="259" w:lineRule="auto"/>
        <w:ind w:left="567" w:hanging="567"/>
        <w:rPr>
          <w:color w:val="000000" w:themeColor="text1"/>
          <w:sz w:val="16"/>
          <w:szCs w:val="16"/>
        </w:rPr>
      </w:pPr>
    </w:p>
    <w:p w:rsidR="005C2581" w:rsidRPr="00F11AE4" w:rsidRDefault="005C2581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="007A1877" w:rsidRPr="00F11AE4">
        <w:rPr>
          <w:color w:val="000000" w:themeColor="text1"/>
          <w:sz w:val="23"/>
          <w:szCs w:val="23"/>
        </w:rPr>
        <w:t xml:space="preserve">Aktuarens rapport skal inneholde </w:t>
      </w:r>
      <w:r w:rsidR="002E519A" w:rsidRPr="00F11AE4">
        <w:rPr>
          <w:color w:val="000000" w:themeColor="text1"/>
          <w:sz w:val="23"/>
          <w:szCs w:val="23"/>
        </w:rPr>
        <w:t xml:space="preserve">selvstendig </w:t>
      </w:r>
      <w:r w:rsidR="005B7897" w:rsidRPr="00F11AE4">
        <w:rPr>
          <w:color w:val="000000" w:themeColor="text1"/>
          <w:sz w:val="23"/>
          <w:szCs w:val="23"/>
        </w:rPr>
        <w:t xml:space="preserve">beskrivelse av </w:t>
      </w:r>
      <w:r w:rsidR="00EA4DD9" w:rsidRPr="00F11AE4">
        <w:rPr>
          <w:color w:val="000000" w:themeColor="text1"/>
          <w:sz w:val="23"/>
          <w:szCs w:val="23"/>
        </w:rPr>
        <w:t>de forhold som er omtalt i dette punkt</w:t>
      </w:r>
      <w:r w:rsidR="007A1877" w:rsidRPr="00F11AE4">
        <w:rPr>
          <w:color w:val="000000" w:themeColor="text1"/>
          <w:sz w:val="23"/>
          <w:szCs w:val="23"/>
        </w:rPr>
        <w:t xml:space="preserve">, </w:t>
      </w:r>
      <w:r w:rsidR="00EA4DD9" w:rsidRPr="00F11AE4">
        <w:rPr>
          <w:color w:val="000000" w:themeColor="text1"/>
          <w:sz w:val="23"/>
          <w:szCs w:val="23"/>
        </w:rPr>
        <w:t xml:space="preserve">og ikke referere </w:t>
      </w:r>
      <w:r w:rsidR="007A1877" w:rsidRPr="00F11AE4">
        <w:rPr>
          <w:color w:val="000000" w:themeColor="text1"/>
          <w:sz w:val="23"/>
          <w:szCs w:val="23"/>
        </w:rPr>
        <w:t>til annen dokumentasjon sendt til Finanstilsynet.</w:t>
      </w:r>
    </w:p>
    <w:p w:rsidR="000A7CFD" w:rsidRPr="00570511" w:rsidRDefault="00343C9F" w:rsidP="00AC4EBD">
      <w:pPr>
        <w:tabs>
          <w:tab w:val="left" w:pos="567"/>
        </w:tabs>
        <w:spacing w:line="259" w:lineRule="auto"/>
        <w:ind w:left="709" w:hanging="709"/>
        <w:rPr>
          <w:color w:val="000000" w:themeColor="text1"/>
          <w:sz w:val="16"/>
          <w:szCs w:val="16"/>
        </w:rPr>
      </w:pPr>
      <w:r w:rsidRPr="00570511">
        <w:rPr>
          <w:color w:val="000000" w:themeColor="text1"/>
          <w:sz w:val="16"/>
          <w:szCs w:val="16"/>
        </w:rPr>
        <w:tab/>
      </w:r>
    </w:p>
    <w:p w:rsidR="001831CE" w:rsidRPr="00570511" w:rsidRDefault="005006AF" w:rsidP="00AC4EBD">
      <w:pPr>
        <w:spacing w:before="60" w:after="60" w:line="259" w:lineRule="auto"/>
        <w:ind w:left="567" w:hanging="567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10</w:t>
      </w:r>
      <w:r w:rsidR="00711C5A" w:rsidRPr="00570511">
        <w:rPr>
          <w:b/>
          <w:color w:val="000000" w:themeColor="text1"/>
          <w:sz w:val="23"/>
          <w:szCs w:val="23"/>
        </w:rPr>
        <w:tab/>
        <w:t>Tilbakeføring av overskudd</w:t>
      </w:r>
    </w:p>
    <w:p w:rsidR="004732DB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>Det gis en kortfattet redegjørelse for de prinsipper som er lagt til grunn ved tilbakeføring av overskuddsmidler innenfor de enkelte hovedbransjer og produktgrupper</w:t>
      </w:r>
      <w:r w:rsidR="00CD500E" w:rsidRPr="00F11AE4">
        <w:rPr>
          <w:color w:val="000000" w:themeColor="text1"/>
          <w:sz w:val="23"/>
          <w:szCs w:val="23"/>
        </w:rPr>
        <w:t>, herunder avsetning til tilleggsavsetninger</w:t>
      </w:r>
      <w:r w:rsidR="00DA2B59" w:rsidRPr="00F11AE4">
        <w:rPr>
          <w:color w:val="000000" w:themeColor="text1"/>
          <w:sz w:val="23"/>
          <w:szCs w:val="23"/>
        </w:rPr>
        <w:t xml:space="preserve"> og </w:t>
      </w:r>
      <w:r w:rsidR="00CD500E" w:rsidRPr="00F11AE4">
        <w:rPr>
          <w:color w:val="000000" w:themeColor="text1"/>
          <w:sz w:val="23"/>
          <w:szCs w:val="23"/>
        </w:rPr>
        <w:t>risikoutjevningsfond</w:t>
      </w:r>
      <w:r w:rsidRPr="00F11AE4">
        <w:rPr>
          <w:color w:val="000000" w:themeColor="text1"/>
          <w:sz w:val="23"/>
          <w:szCs w:val="23"/>
        </w:rPr>
        <w:t>. Eventuelle endringer i prinsippene i forhold til foregående regnskapsår redegjøres det særskilt for. Aktuaren redegjør</w:t>
      </w:r>
      <w:r w:rsidR="00556072" w:rsidRPr="00F11AE4">
        <w:rPr>
          <w:color w:val="000000" w:themeColor="text1"/>
          <w:sz w:val="23"/>
          <w:szCs w:val="23"/>
        </w:rPr>
        <w:t xml:space="preserve"> også</w:t>
      </w:r>
      <w:r w:rsidRPr="00F11AE4">
        <w:rPr>
          <w:color w:val="000000" w:themeColor="text1"/>
          <w:sz w:val="23"/>
          <w:szCs w:val="23"/>
        </w:rPr>
        <w:t xml:space="preserve"> for eventuelle spesielle forhold knyttet til tilbakeføring av årets overskudd.</w:t>
      </w:r>
    </w:p>
    <w:p w:rsidR="00AC4EBD" w:rsidRPr="00570511" w:rsidRDefault="00AC4EBD" w:rsidP="00AC4EBD">
      <w:pPr>
        <w:spacing w:line="259" w:lineRule="auto"/>
        <w:ind w:left="567" w:hanging="567"/>
        <w:rPr>
          <w:color w:val="000000" w:themeColor="text1"/>
          <w:sz w:val="16"/>
          <w:szCs w:val="16"/>
        </w:rPr>
      </w:pPr>
    </w:p>
    <w:p w:rsidR="001831CE" w:rsidRPr="00570511" w:rsidRDefault="001831CE" w:rsidP="00AC4EBD">
      <w:pPr>
        <w:tabs>
          <w:tab w:val="left" w:pos="567"/>
        </w:tabs>
        <w:spacing w:before="60" w:after="60" w:line="259" w:lineRule="auto"/>
        <w:ind w:left="567" w:hanging="567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1</w:t>
      </w:r>
      <w:r w:rsidR="005006AF" w:rsidRPr="00570511">
        <w:rPr>
          <w:b/>
          <w:color w:val="000000" w:themeColor="text1"/>
          <w:sz w:val="23"/>
          <w:szCs w:val="23"/>
        </w:rPr>
        <w:t>1</w:t>
      </w:r>
      <w:r w:rsidRPr="00570511">
        <w:rPr>
          <w:b/>
          <w:color w:val="000000" w:themeColor="text1"/>
          <w:sz w:val="23"/>
          <w:szCs w:val="23"/>
        </w:rPr>
        <w:tab/>
        <w:t>Premie for rentegaranti og fortjenestemargin</w:t>
      </w:r>
      <w:r w:rsidR="004A39A3" w:rsidRPr="00570511">
        <w:rPr>
          <w:b/>
          <w:color w:val="000000" w:themeColor="text1"/>
          <w:sz w:val="23"/>
          <w:szCs w:val="23"/>
        </w:rPr>
        <w:t>er</w:t>
      </w:r>
    </w:p>
    <w:p w:rsidR="001831CE" w:rsidRPr="00F11AE4" w:rsidRDefault="001831CE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>Det</w:t>
      </w:r>
      <w:r w:rsidR="00057ED1" w:rsidRPr="00F11AE4">
        <w:rPr>
          <w:color w:val="000000" w:themeColor="text1"/>
          <w:sz w:val="23"/>
          <w:szCs w:val="23"/>
        </w:rPr>
        <w:t xml:space="preserve"> </w:t>
      </w:r>
      <w:r w:rsidRPr="00F11AE4">
        <w:rPr>
          <w:color w:val="000000" w:themeColor="text1"/>
          <w:sz w:val="23"/>
          <w:szCs w:val="23"/>
        </w:rPr>
        <w:t>skal redegjøres for hvilke regler selskapet har benyttet ved fastsettelse av premie for rente</w:t>
      </w:r>
      <w:r w:rsidR="00F11AE4">
        <w:rPr>
          <w:color w:val="000000" w:themeColor="text1"/>
          <w:sz w:val="23"/>
          <w:szCs w:val="23"/>
        </w:rPr>
        <w:softHyphen/>
      </w:r>
      <w:r w:rsidRPr="00F11AE4">
        <w:rPr>
          <w:color w:val="000000" w:themeColor="text1"/>
          <w:sz w:val="23"/>
          <w:szCs w:val="23"/>
        </w:rPr>
        <w:t>garanti, herunder hvilke inntekter dette har gitt opphav til i de ulike bransjer.</w:t>
      </w:r>
    </w:p>
    <w:p w:rsidR="001831CE" w:rsidRPr="00570511" w:rsidRDefault="001831CE" w:rsidP="00AC4EBD">
      <w:pPr>
        <w:spacing w:line="259" w:lineRule="auto"/>
        <w:ind w:left="567" w:hanging="567"/>
        <w:rPr>
          <w:color w:val="000000" w:themeColor="text1"/>
          <w:sz w:val="16"/>
          <w:szCs w:val="16"/>
        </w:rPr>
      </w:pPr>
    </w:p>
    <w:p w:rsidR="001831CE" w:rsidRPr="00F11AE4" w:rsidRDefault="001831CE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Videre skal det gis en omtale av selskapets </w:t>
      </w:r>
      <w:r w:rsidR="00D94E34" w:rsidRPr="00F11AE4">
        <w:rPr>
          <w:color w:val="000000" w:themeColor="text1"/>
          <w:sz w:val="23"/>
          <w:szCs w:val="23"/>
        </w:rPr>
        <w:t xml:space="preserve">regler for fastsettelse av fortjenestemargin på </w:t>
      </w:r>
      <w:r w:rsidR="00556072" w:rsidRPr="00F11AE4">
        <w:rPr>
          <w:color w:val="000000" w:themeColor="text1"/>
          <w:sz w:val="23"/>
          <w:szCs w:val="23"/>
        </w:rPr>
        <w:t xml:space="preserve">pris for </w:t>
      </w:r>
      <w:r w:rsidR="005A11FC" w:rsidRPr="00F11AE4">
        <w:rPr>
          <w:color w:val="000000" w:themeColor="text1"/>
          <w:sz w:val="23"/>
          <w:szCs w:val="23"/>
        </w:rPr>
        <w:t>rente</w:t>
      </w:r>
      <w:r w:rsidR="004A39A3" w:rsidRPr="00F11AE4">
        <w:rPr>
          <w:color w:val="000000" w:themeColor="text1"/>
          <w:sz w:val="23"/>
          <w:szCs w:val="23"/>
        </w:rPr>
        <w:t>garant</w:t>
      </w:r>
      <w:r w:rsidR="00556072" w:rsidRPr="00F11AE4">
        <w:rPr>
          <w:color w:val="000000" w:themeColor="text1"/>
          <w:sz w:val="23"/>
          <w:szCs w:val="23"/>
        </w:rPr>
        <w:t>i</w:t>
      </w:r>
      <w:r w:rsidR="005A11FC" w:rsidRPr="00F11AE4">
        <w:rPr>
          <w:color w:val="000000" w:themeColor="text1"/>
          <w:sz w:val="23"/>
          <w:szCs w:val="23"/>
        </w:rPr>
        <w:t xml:space="preserve">, </w:t>
      </w:r>
      <w:r w:rsidR="00556072" w:rsidRPr="00F11AE4">
        <w:rPr>
          <w:color w:val="000000" w:themeColor="text1"/>
          <w:sz w:val="23"/>
          <w:szCs w:val="23"/>
        </w:rPr>
        <w:t xml:space="preserve">pris for </w:t>
      </w:r>
      <w:r w:rsidR="005A11FC" w:rsidRPr="00F11AE4">
        <w:rPr>
          <w:color w:val="000000" w:themeColor="text1"/>
          <w:sz w:val="23"/>
          <w:szCs w:val="23"/>
        </w:rPr>
        <w:t>risiko</w:t>
      </w:r>
      <w:r w:rsidR="004A39A3" w:rsidRPr="00F11AE4">
        <w:rPr>
          <w:color w:val="000000" w:themeColor="text1"/>
          <w:sz w:val="23"/>
          <w:szCs w:val="23"/>
        </w:rPr>
        <w:t xml:space="preserve"> </w:t>
      </w:r>
      <w:r w:rsidR="00556072" w:rsidRPr="00F11AE4">
        <w:rPr>
          <w:color w:val="000000" w:themeColor="text1"/>
          <w:sz w:val="23"/>
          <w:szCs w:val="23"/>
        </w:rPr>
        <w:t xml:space="preserve">knyttet til </w:t>
      </w:r>
      <w:r w:rsidR="004A39A3" w:rsidRPr="00F11AE4">
        <w:rPr>
          <w:color w:val="000000" w:themeColor="text1"/>
          <w:sz w:val="23"/>
          <w:szCs w:val="23"/>
        </w:rPr>
        <w:t xml:space="preserve">person og </w:t>
      </w:r>
      <w:r w:rsidR="00556072" w:rsidRPr="00F11AE4">
        <w:rPr>
          <w:color w:val="000000" w:themeColor="text1"/>
          <w:sz w:val="23"/>
          <w:szCs w:val="23"/>
        </w:rPr>
        <w:t xml:space="preserve">pris for </w:t>
      </w:r>
      <w:r w:rsidR="005A11FC" w:rsidRPr="00F11AE4">
        <w:rPr>
          <w:color w:val="000000" w:themeColor="text1"/>
          <w:sz w:val="23"/>
          <w:szCs w:val="23"/>
        </w:rPr>
        <w:t>administrasjon</w:t>
      </w:r>
      <w:r w:rsidR="00556072" w:rsidRPr="00F11AE4">
        <w:rPr>
          <w:color w:val="000000" w:themeColor="text1"/>
          <w:sz w:val="23"/>
          <w:szCs w:val="23"/>
        </w:rPr>
        <w:t xml:space="preserve"> og forvaltning</w:t>
      </w:r>
      <w:r w:rsidR="00D94E34" w:rsidRPr="00F11AE4">
        <w:rPr>
          <w:color w:val="000000" w:themeColor="text1"/>
          <w:sz w:val="23"/>
          <w:szCs w:val="23"/>
        </w:rPr>
        <w:t>, herunder hvilke inntekter dette har gitt opphav til i de ulike bransjer.</w:t>
      </w:r>
    </w:p>
    <w:p w:rsidR="001831CE" w:rsidRPr="00570511" w:rsidRDefault="001831CE" w:rsidP="00AC4EBD">
      <w:pPr>
        <w:tabs>
          <w:tab w:val="left" w:pos="567"/>
        </w:tabs>
        <w:spacing w:line="259" w:lineRule="auto"/>
        <w:rPr>
          <w:color w:val="000000" w:themeColor="text1"/>
          <w:sz w:val="16"/>
          <w:szCs w:val="16"/>
        </w:rPr>
      </w:pPr>
    </w:p>
    <w:p w:rsidR="00711C5A" w:rsidRPr="00570511" w:rsidRDefault="00563A62" w:rsidP="00AC4EBD">
      <w:pPr>
        <w:spacing w:before="60" w:after="60" w:line="259" w:lineRule="auto"/>
        <w:ind w:left="567" w:hanging="567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1</w:t>
      </w:r>
      <w:r w:rsidR="005006AF" w:rsidRPr="00570511">
        <w:rPr>
          <w:b/>
          <w:color w:val="000000" w:themeColor="text1"/>
          <w:sz w:val="23"/>
          <w:szCs w:val="23"/>
        </w:rPr>
        <w:t>2</w:t>
      </w:r>
      <w:r w:rsidR="00711C5A" w:rsidRPr="00570511">
        <w:rPr>
          <w:b/>
          <w:color w:val="000000" w:themeColor="text1"/>
          <w:sz w:val="23"/>
          <w:szCs w:val="23"/>
        </w:rPr>
        <w:tab/>
        <w:t>Forsikringer uten overskudd</w:t>
      </w:r>
      <w:r w:rsidR="00F10F56" w:rsidRPr="00570511">
        <w:rPr>
          <w:b/>
          <w:color w:val="000000" w:themeColor="text1"/>
          <w:sz w:val="23"/>
          <w:szCs w:val="23"/>
        </w:rPr>
        <w:t>srett</w:t>
      </w:r>
    </w:p>
    <w:p w:rsidR="00711C5A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Det </w:t>
      </w:r>
      <w:r w:rsidR="00CD500E" w:rsidRPr="00F11AE4">
        <w:rPr>
          <w:color w:val="000000" w:themeColor="text1"/>
          <w:sz w:val="23"/>
          <w:szCs w:val="23"/>
        </w:rPr>
        <w:t xml:space="preserve">redegjøres </w:t>
      </w:r>
      <w:r w:rsidRPr="00F11AE4">
        <w:rPr>
          <w:color w:val="000000" w:themeColor="text1"/>
          <w:sz w:val="23"/>
          <w:szCs w:val="23"/>
        </w:rPr>
        <w:t xml:space="preserve">særskilt </w:t>
      </w:r>
      <w:r w:rsidR="00CD500E" w:rsidRPr="00F11AE4">
        <w:rPr>
          <w:color w:val="000000" w:themeColor="text1"/>
          <w:sz w:val="23"/>
          <w:szCs w:val="23"/>
        </w:rPr>
        <w:t xml:space="preserve">for resultatene </w:t>
      </w:r>
      <w:r w:rsidRPr="00F11AE4">
        <w:rPr>
          <w:color w:val="000000" w:themeColor="text1"/>
          <w:sz w:val="23"/>
          <w:szCs w:val="23"/>
        </w:rPr>
        <w:t>for de produktgrupper som er uten overskudd</w:t>
      </w:r>
      <w:r w:rsidR="000F06C1" w:rsidRPr="00F11AE4">
        <w:rPr>
          <w:color w:val="000000" w:themeColor="text1"/>
          <w:sz w:val="23"/>
          <w:szCs w:val="23"/>
        </w:rPr>
        <w:t>srett</w:t>
      </w:r>
      <w:r w:rsidRPr="00F11AE4">
        <w:rPr>
          <w:color w:val="000000" w:themeColor="text1"/>
          <w:sz w:val="23"/>
          <w:szCs w:val="23"/>
        </w:rPr>
        <w:t>, dvs.</w:t>
      </w:r>
      <w:r w:rsidR="00EF6E91" w:rsidRPr="00F11AE4">
        <w:rPr>
          <w:color w:val="000000" w:themeColor="text1"/>
          <w:sz w:val="23"/>
          <w:szCs w:val="23"/>
        </w:rPr>
        <w:t> </w:t>
      </w:r>
      <w:r w:rsidR="00162039" w:rsidRPr="00F11AE4">
        <w:rPr>
          <w:color w:val="000000" w:themeColor="text1"/>
          <w:sz w:val="23"/>
          <w:szCs w:val="23"/>
        </w:rPr>
        <w:t xml:space="preserve">produkter hvor </w:t>
      </w:r>
      <w:r w:rsidRPr="00F11AE4">
        <w:rPr>
          <w:color w:val="000000" w:themeColor="text1"/>
          <w:sz w:val="23"/>
          <w:szCs w:val="23"/>
        </w:rPr>
        <w:t>resultatet avregne</w:t>
      </w:r>
      <w:r w:rsidR="00CD500E" w:rsidRPr="00F11AE4">
        <w:rPr>
          <w:color w:val="000000" w:themeColor="text1"/>
          <w:sz w:val="23"/>
          <w:szCs w:val="23"/>
        </w:rPr>
        <w:t>s</w:t>
      </w:r>
      <w:r w:rsidRPr="00F11AE4">
        <w:rPr>
          <w:color w:val="000000" w:themeColor="text1"/>
          <w:sz w:val="23"/>
          <w:szCs w:val="23"/>
        </w:rPr>
        <w:t xml:space="preserve"> direkte mot selskapets egenkapital.</w:t>
      </w:r>
      <w:r w:rsidR="0059789E" w:rsidRPr="00F11AE4">
        <w:rPr>
          <w:color w:val="000000" w:themeColor="text1"/>
          <w:sz w:val="23"/>
          <w:szCs w:val="23"/>
        </w:rPr>
        <w:t xml:space="preserve"> </w:t>
      </w:r>
      <w:r w:rsidR="00BA57F6" w:rsidRPr="00F11AE4">
        <w:rPr>
          <w:color w:val="000000" w:themeColor="text1"/>
          <w:sz w:val="23"/>
          <w:szCs w:val="23"/>
        </w:rPr>
        <w:t xml:space="preserve">Redegjørelsen skal skille mellom </w:t>
      </w:r>
      <w:r w:rsidR="000D3F30" w:rsidRPr="00F11AE4">
        <w:rPr>
          <w:color w:val="000000" w:themeColor="text1"/>
          <w:sz w:val="23"/>
          <w:szCs w:val="23"/>
        </w:rPr>
        <w:t>produkter som i sin helhet er uten overskudd</w:t>
      </w:r>
      <w:r w:rsidR="000F06C1" w:rsidRPr="00F11AE4">
        <w:rPr>
          <w:color w:val="000000" w:themeColor="text1"/>
          <w:sz w:val="23"/>
          <w:szCs w:val="23"/>
        </w:rPr>
        <w:t>srett</w:t>
      </w:r>
      <w:r w:rsidR="00AC4EBD" w:rsidRPr="00F11AE4">
        <w:rPr>
          <w:color w:val="000000" w:themeColor="text1"/>
          <w:sz w:val="23"/>
          <w:szCs w:val="23"/>
        </w:rPr>
        <w:t xml:space="preserve"> (f.eks. rene ett-</w:t>
      </w:r>
      <w:proofErr w:type="spellStart"/>
      <w:r w:rsidR="00AC4EBD" w:rsidRPr="00F11AE4">
        <w:rPr>
          <w:color w:val="000000" w:themeColor="text1"/>
          <w:sz w:val="23"/>
          <w:szCs w:val="23"/>
        </w:rPr>
        <w:t>årige</w:t>
      </w:r>
      <w:proofErr w:type="spellEnd"/>
      <w:r w:rsidR="00AC4EBD" w:rsidRPr="00F11AE4">
        <w:rPr>
          <w:color w:val="000000" w:themeColor="text1"/>
          <w:sz w:val="23"/>
          <w:szCs w:val="23"/>
        </w:rPr>
        <w:t xml:space="preserve"> </w:t>
      </w:r>
      <w:r w:rsidR="000D3F30" w:rsidRPr="00F11AE4">
        <w:rPr>
          <w:color w:val="000000" w:themeColor="text1"/>
          <w:sz w:val="23"/>
          <w:szCs w:val="23"/>
        </w:rPr>
        <w:t>risiko</w:t>
      </w:r>
      <w:r w:rsidR="00F11AE4">
        <w:rPr>
          <w:color w:val="000000" w:themeColor="text1"/>
          <w:sz w:val="23"/>
          <w:szCs w:val="23"/>
        </w:rPr>
        <w:softHyphen/>
      </w:r>
      <w:r w:rsidR="000D3F30" w:rsidRPr="00F11AE4">
        <w:rPr>
          <w:color w:val="000000" w:themeColor="text1"/>
          <w:sz w:val="23"/>
          <w:szCs w:val="23"/>
        </w:rPr>
        <w:t>forsikringer) og tilleggsdekninger uten overskudd</w:t>
      </w:r>
      <w:r w:rsidR="000F06C1" w:rsidRPr="00F11AE4">
        <w:rPr>
          <w:color w:val="000000" w:themeColor="text1"/>
          <w:sz w:val="23"/>
          <w:szCs w:val="23"/>
        </w:rPr>
        <w:t>srett</w:t>
      </w:r>
      <w:r w:rsidR="000D3F30" w:rsidRPr="00F11AE4">
        <w:rPr>
          <w:color w:val="000000" w:themeColor="text1"/>
          <w:sz w:val="23"/>
          <w:szCs w:val="23"/>
        </w:rPr>
        <w:t xml:space="preserve"> (f.eks. tilleggsytelser </w:t>
      </w:r>
      <w:r w:rsidR="00E94203" w:rsidRPr="00F11AE4">
        <w:rPr>
          <w:color w:val="000000" w:themeColor="text1"/>
          <w:sz w:val="23"/>
          <w:szCs w:val="23"/>
        </w:rPr>
        <w:t>i form av etterlatte</w:t>
      </w:r>
      <w:r w:rsidR="005A11FC" w:rsidRPr="00F11AE4">
        <w:rPr>
          <w:color w:val="000000" w:themeColor="text1"/>
          <w:sz w:val="23"/>
          <w:szCs w:val="23"/>
        </w:rPr>
        <w:t>-</w:t>
      </w:r>
      <w:r w:rsidR="00E94203" w:rsidRPr="00F11AE4">
        <w:rPr>
          <w:color w:val="000000" w:themeColor="text1"/>
          <w:sz w:val="23"/>
          <w:szCs w:val="23"/>
        </w:rPr>
        <w:t xml:space="preserve"> og uføre</w:t>
      </w:r>
      <w:r w:rsidR="005A11FC" w:rsidRPr="00F11AE4">
        <w:rPr>
          <w:color w:val="000000" w:themeColor="text1"/>
          <w:sz w:val="23"/>
          <w:szCs w:val="23"/>
        </w:rPr>
        <w:t>dekninger</w:t>
      </w:r>
      <w:r w:rsidR="00556072" w:rsidRPr="00F11AE4">
        <w:rPr>
          <w:color w:val="000000" w:themeColor="text1"/>
          <w:sz w:val="23"/>
          <w:szCs w:val="23"/>
        </w:rPr>
        <w:t>)</w:t>
      </w:r>
      <w:r w:rsidR="00E94203" w:rsidRPr="00F11AE4">
        <w:rPr>
          <w:color w:val="000000" w:themeColor="text1"/>
          <w:sz w:val="23"/>
          <w:szCs w:val="23"/>
        </w:rPr>
        <w:t>.</w:t>
      </w:r>
    </w:p>
    <w:p w:rsidR="00711C5A" w:rsidRPr="00570511" w:rsidRDefault="00F11AE4" w:rsidP="00F11AE4">
      <w:pPr>
        <w:tabs>
          <w:tab w:val="left" w:pos="6716"/>
        </w:tabs>
        <w:spacing w:line="259" w:lineRule="auto"/>
        <w:ind w:left="708" w:hanging="708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</w:p>
    <w:p w:rsidR="00711C5A" w:rsidRPr="00570511" w:rsidRDefault="00563A62" w:rsidP="00AC4EBD">
      <w:pPr>
        <w:spacing w:before="60" w:after="60" w:line="259" w:lineRule="auto"/>
        <w:ind w:left="567" w:hanging="567"/>
        <w:rPr>
          <w:b/>
          <w:color w:val="000000" w:themeColor="text1"/>
          <w:sz w:val="23"/>
          <w:szCs w:val="23"/>
        </w:rPr>
      </w:pPr>
      <w:r w:rsidRPr="00570511">
        <w:rPr>
          <w:b/>
          <w:color w:val="000000" w:themeColor="text1"/>
          <w:sz w:val="23"/>
          <w:szCs w:val="23"/>
        </w:rPr>
        <w:t>1</w:t>
      </w:r>
      <w:r w:rsidR="005006AF" w:rsidRPr="00570511">
        <w:rPr>
          <w:b/>
          <w:color w:val="000000" w:themeColor="text1"/>
          <w:sz w:val="23"/>
          <w:szCs w:val="23"/>
        </w:rPr>
        <w:t>3</w:t>
      </w:r>
      <w:r w:rsidR="00711C5A" w:rsidRPr="00570511">
        <w:rPr>
          <w:b/>
          <w:color w:val="000000" w:themeColor="text1"/>
          <w:sz w:val="23"/>
          <w:szCs w:val="23"/>
        </w:rPr>
        <w:tab/>
        <w:t>Gjenforsikring mv.</w:t>
      </w:r>
    </w:p>
    <w:p w:rsidR="00556072" w:rsidRPr="00F11AE4" w:rsidRDefault="00711C5A" w:rsidP="00AC4EBD">
      <w:pPr>
        <w:spacing w:line="259" w:lineRule="auto"/>
        <w:ind w:left="567" w:hanging="567"/>
        <w:rPr>
          <w:color w:val="000000" w:themeColor="text1"/>
          <w:sz w:val="23"/>
          <w:szCs w:val="23"/>
        </w:rPr>
      </w:pPr>
      <w:r w:rsidRPr="00AC4EBD">
        <w:rPr>
          <w:color w:val="000000" w:themeColor="text1"/>
          <w:sz w:val="22"/>
          <w:szCs w:val="22"/>
        </w:rPr>
        <w:tab/>
      </w:r>
      <w:r w:rsidRPr="00F11AE4">
        <w:rPr>
          <w:color w:val="000000" w:themeColor="text1"/>
          <w:sz w:val="23"/>
          <w:szCs w:val="23"/>
        </w:rPr>
        <w:t xml:space="preserve">Det gis en kortfattet redegjørelse for selskapets gjenforsikringsavtaler. Det skal </w:t>
      </w:r>
      <w:r w:rsidR="00D149AF" w:rsidRPr="00F11AE4">
        <w:rPr>
          <w:color w:val="000000" w:themeColor="text1"/>
          <w:sz w:val="23"/>
          <w:szCs w:val="23"/>
        </w:rPr>
        <w:t>også</w:t>
      </w:r>
      <w:r w:rsidRPr="00F11AE4">
        <w:rPr>
          <w:color w:val="000000" w:themeColor="text1"/>
          <w:sz w:val="23"/>
          <w:szCs w:val="23"/>
        </w:rPr>
        <w:t xml:space="preserve"> rede</w:t>
      </w:r>
      <w:r w:rsidRPr="00F11AE4">
        <w:rPr>
          <w:color w:val="000000" w:themeColor="text1"/>
          <w:sz w:val="23"/>
          <w:szCs w:val="23"/>
        </w:rPr>
        <w:softHyphen/>
        <w:t xml:space="preserve">gjøres for utviklingen i </w:t>
      </w:r>
      <w:r w:rsidR="00E34D8F" w:rsidRPr="00F11AE4">
        <w:rPr>
          <w:color w:val="000000" w:themeColor="text1"/>
          <w:sz w:val="23"/>
          <w:szCs w:val="23"/>
        </w:rPr>
        <w:t xml:space="preserve">eventuelle </w:t>
      </w:r>
      <w:r w:rsidRPr="00F11AE4">
        <w:rPr>
          <w:color w:val="000000" w:themeColor="text1"/>
          <w:sz w:val="23"/>
          <w:szCs w:val="23"/>
        </w:rPr>
        <w:t xml:space="preserve">multinasjonale </w:t>
      </w:r>
      <w:proofErr w:type="spellStart"/>
      <w:r w:rsidRPr="00F11AE4">
        <w:rPr>
          <w:color w:val="000000" w:themeColor="text1"/>
          <w:sz w:val="23"/>
          <w:szCs w:val="23"/>
        </w:rPr>
        <w:t>pooling</w:t>
      </w:r>
      <w:proofErr w:type="spellEnd"/>
      <w:r w:rsidR="00EA671D" w:rsidRPr="00F11AE4">
        <w:rPr>
          <w:color w:val="000000" w:themeColor="text1"/>
          <w:sz w:val="23"/>
          <w:szCs w:val="23"/>
        </w:rPr>
        <w:t>-</w:t>
      </w:r>
      <w:r w:rsidRPr="00F11AE4">
        <w:rPr>
          <w:color w:val="000000" w:themeColor="text1"/>
          <w:sz w:val="23"/>
          <w:szCs w:val="23"/>
        </w:rPr>
        <w:t>avtaler selskapet deltar i.</w:t>
      </w:r>
      <w:r w:rsidR="00AD54C3" w:rsidRPr="00F11AE4">
        <w:rPr>
          <w:color w:val="000000" w:themeColor="text1"/>
          <w:sz w:val="23"/>
          <w:szCs w:val="23"/>
        </w:rPr>
        <w:t xml:space="preserve"> </w:t>
      </w:r>
    </w:p>
    <w:p w:rsidR="000B2145" w:rsidRPr="00F11AE4" w:rsidRDefault="00711C5A" w:rsidP="00AC4EBD">
      <w:pPr>
        <w:spacing w:line="259" w:lineRule="auto"/>
        <w:ind w:left="567"/>
        <w:rPr>
          <w:color w:val="000000"/>
          <w:sz w:val="23"/>
          <w:szCs w:val="23"/>
        </w:rPr>
      </w:pPr>
      <w:r w:rsidRPr="00F11AE4">
        <w:rPr>
          <w:color w:val="000000" w:themeColor="text1"/>
          <w:sz w:val="23"/>
          <w:szCs w:val="23"/>
        </w:rPr>
        <w:t>Eventuelle</w:t>
      </w:r>
      <w:r w:rsidR="00562B2D" w:rsidRPr="00F11AE4">
        <w:rPr>
          <w:color w:val="000000" w:themeColor="text1"/>
          <w:sz w:val="23"/>
          <w:szCs w:val="23"/>
        </w:rPr>
        <w:t xml:space="preserve"> </w:t>
      </w:r>
      <w:r w:rsidRPr="00F11AE4">
        <w:rPr>
          <w:color w:val="000000" w:themeColor="text1"/>
          <w:sz w:val="23"/>
          <w:szCs w:val="23"/>
        </w:rPr>
        <w:t>endringer i prinsippe</w:t>
      </w:r>
      <w:r w:rsidR="00F11AE4">
        <w:rPr>
          <w:color w:val="000000" w:themeColor="text1"/>
          <w:sz w:val="23"/>
          <w:szCs w:val="23"/>
        </w:rPr>
        <w:t>r</w:t>
      </w:r>
      <w:r w:rsidRPr="00F11AE4">
        <w:rPr>
          <w:color w:val="000000" w:themeColor="text1"/>
          <w:sz w:val="23"/>
          <w:szCs w:val="23"/>
        </w:rPr>
        <w:t xml:space="preserve"> i forhold til foregående regnskap</w:t>
      </w:r>
      <w:r w:rsidR="00EF6E91" w:rsidRPr="00F11AE4">
        <w:rPr>
          <w:color w:val="000000" w:themeColor="text1"/>
          <w:sz w:val="23"/>
          <w:szCs w:val="23"/>
        </w:rPr>
        <w:t xml:space="preserve">sår redegjøres det særskilt </w:t>
      </w:r>
      <w:r w:rsidR="00EF6E91" w:rsidRPr="00F11AE4">
        <w:rPr>
          <w:color w:val="000000"/>
          <w:sz w:val="23"/>
          <w:szCs w:val="23"/>
        </w:rPr>
        <w:t>for.</w:t>
      </w:r>
    </w:p>
    <w:sectPr w:rsidR="000B2145" w:rsidRPr="00F11AE4" w:rsidSect="00113506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247" w:right="1191" w:bottom="1247" w:left="1191" w:header="567" w:footer="567" w:gutter="0"/>
      <w:paperSrc w:first="4" w:other="4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BF" w:rsidRDefault="005178BF">
      <w:r>
        <w:separator/>
      </w:r>
    </w:p>
  </w:endnote>
  <w:endnote w:type="continuationSeparator" w:id="0">
    <w:p w:rsidR="005178BF" w:rsidRDefault="0051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56" w:rsidRDefault="00F10F56" w:rsidP="00401AE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10F56" w:rsidRDefault="00F10F56" w:rsidP="000644E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56" w:rsidRPr="00AB5768" w:rsidRDefault="00F10F56" w:rsidP="00CD500E">
    <w:pPr>
      <w:pStyle w:val="Bunntekst"/>
      <w:framePr w:wrap="around" w:vAnchor="text" w:hAnchor="margin" w:xAlign="right" w:y="1"/>
      <w:rPr>
        <w:rStyle w:val="Sidetall"/>
        <w:sz w:val="20"/>
      </w:rPr>
    </w:pPr>
    <w:r w:rsidRPr="00AB5768">
      <w:rPr>
        <w:rStyle w:val="Sidetall"/>
        <w:sz w:val="20"/>
      </w:rPr>
      <w:fldChar w:fldCharType="begin"/>
    </w:r>
    <w:r w:rsidRPr="00AB5768">
      <w:rPr>
        <w:rStyle w:val="Sidetall"/>
        <w:sz w:val="20"/>
      </w:rPr>
      <w:instrText xml:space="preserve">PAGE  </w:instrText>
    </w:r>
    <w:r w:rsidRPr="00AB5768">
      <w:rPr>
        <w:rStyle w:val="Sidetall"/>
        <w:sz w:val="20"/>
      </w:rPr>
      <w:fldChar w:fldCharType="separate"/>
    </w:r>
    <w:r w:rsidR="00487EEA">
      <w:rPr>
        <w:rStyle w:val="Sidetall"/>
        <w:noProof/>
        <w:sz w:val="20"/>
      </w:rPr>
      <w:t>3</w:t>
    </w:r>
    <w:r w:rsidRPr="00AB5768">
      <w:rPr>
        <w:rStyle w:val="Sidetall"/>
        <w:sz w:val="20"/>
      </w:rPr>
      <w:fldChar w:fldCharType="end"/>
    </w:r>
  </w:p>
  <w:p w:rsidR="00F10F56" w:rsidRDefault="00F10F56" w:rsidP="000644E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BF" w:rsidRDefault="005178BF">
      <w:r>
        <w:separator/>
      </w:r>
    </w:p>
  </w:footnote>
  <w:footnote w:type="continuationSeparator" w:id="0">
    <w:p w:rsidR="005178BF" w:rsidRDefault="00517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56" w:rsidRDefault="00F10F56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10F56" w:rsidRDefault="00F10F56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56" w:rsidRDefault="00F10F56">
    <w:pPr>
      <w:pStyle w:val="Topptekst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7C24"/>
    <w:multiLevelType w:val="hybridMultilevel"/>
    <w:tmpl w:val="086EB562"/>
    <w:lvl w:ilvl="0" w:tplc="A3AEE0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727FA"/>
    <w:multiLevelType w:val="hybridMultilevel"/>
    <w:tmpl w:val="49EC496C"/>
    <w:lvl w:ilvl="0" w:tplc="1DE67B3C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5A"/>
    <w:rsid w:val="00017D3C"/>
    <w:rsid w:val="000244E4"/>
    <w:rsid w:val="00057D33"/>
    <w:rsid w:val="00057ED1"/>
    <w:rsid w:val="000644E7"/>
    <w:rsid w:val="00077C31"/>
    <w:rsid w:val="000835E9"/>
    <w:rsid w:val="00086D57"/>
    <w:rsid w:val="000A7CFD"/>
    <w:rsid w:val="000B2145"/>
    <w:rsid w:val="000B57EC"/>
    <w:rsid w:val="000C0945"/>
    <w:rsid w:val="000C096C"/>
    <w:rsid w:val="000C15F6"/>
    <w:rsid w:val="000D3F30"/>
    <w:rsid w:val="000E4A66"/>
    <w:rsid w:val="000F06C1"/>
    <w:rsid w:val="000F3E88"/>
    <w:rsid w:val="00106BCF"/>
    <w:rsid w:val="00113506"/>
    <w:rsid w:val="0012107E"/>
    <w:rsid w:val="0012662B"/>
    <w:rsid w:val="00130DAD"/>
    <w:rsid w:val="00142A88"/>
    <w:rsid w:val="00162039"/>
    <w:rsid w:val="00163092"/>
    <w:rsid w:val="00171254"/>
    <w:rsid w:val="0017785F"/>
    <w:rsid w:val="001831CE"/>
    <w:rsid w:val="001854FC"/>
    <w:rsid w:val="00185F16"/>
    <w:rsid w:val="001C630F"/>
    <w:rsid w:val="001D72F3"/>
    <w:rsid w:val="00205395"/>
    <w:rsid w:val="002242D2"/>
    <w:rsid w:val="00230E9E"/>
    <w:rsid w:val="00245EC5"/>
    <w:rsid w:val="00246DCC"/>
    <w:rsid w:val="00291695"/>
    <w:rsid w:val="002A01CE"/>
    <w:rsid w:val="002B2160"/>
    <w:rsid w:val="002D7B8D"/>
    <w:rsid w:val="002E1294"/>
    <w:rsid w:val="002E519A"/>
    <w:rsid w:val="002E5B59"/>
    <w:rsid w:val="003106C6"/>
    <w:rsid w:val="00310712"/>
    <w:rsid w:val="00313F87"/>
    <w:rsid w:val="0034008E"/>
    <w:rsid w:val="00340956"/>
    <w:rsid w:val="00342BC2"/>
    <w:rsid w:val="00343C9F"/>
    <w:rsid w:val="00352AC4"/>
    <w:rsid w:val="00364955"/>
    <w:rsid w:val="003714AF"/>
    <w:rsid w:val="003933C7"/>
    <w:rsid w:val="003A1257"/>
    <w:rsid w:val="003A187F"/>
    <w:rsid w:val="003B5FCF"/>
    <w:rsid w:val="003B6B24"/>
    <w:rsid w:val="003C0E24"/>
    <w:rsid w:val="003C0F49"/>
    <w:rsid w:val="003C640A"/>
    <w:rsid w:val="003C693A"/>
    <w:rsid w:val="003D1B6E"/>
    <w:rsid w:val="003E4FE8"/>
    <w:rsid w:val="003F27DF"/>
    <w:rsid w:val="003F4E90"/>
    <w:rsid w:val="00401AE6"/>
    <w:rsid w:val="00405DEE"/>
    <w:rsid w:val="004225B5"/>
    <w:rsid w:val="004463E9"/>
    <w:rsid w:val="004676DD"/>
    <w:rsid w:val="004732DB"/>
    <w:rsid w:val="00480FD2"/>
    <w:rsid w:val="0048102C"/>
    <w:rsid w:val="00487813"/>
    <w:rsid w:val="00487EEA"/>
    <w:rsid w:val="00492D19"/>
    <w:rsid w:val="004A39A3"/>
    <w:rsid w:val="004B0165"/>
    <w:rsid w:val="004C59E3"/>
    <w:rsid w:val="004E0BF6"/>
    <w:rsid w:val="004E32DC"/>
    <w:rsid w:val="005006AF"/>
    <w:rsid w:val="0051439E"/>
    <w:rsid w:val="005150C2"/>
    <w:rsid w:val="005178BF"/>
    <w:rsid w:val="005205AD"/>
    <w:rsid w:val="0053098E"/>
    <w:rsid w:val="00556072"/>
    <w:rsid w:val="00556771"/>
    <w:rsid w:val="005615E3"/>
    <w:rsid w:val="00562B2D"/>
    <w:rsid w:val="00563A62"/>
    <w:rsid w:val="00570511"/>
    <w:rsid w:val="00581F77"/>
    <w:rsid w:val="005912ED"/>
    <w:rsid w:val="00595395"/>
    <w:rsid w:val="0059789E"/>
    <w:rsid w:val="005A11FC"/>
    <w:rsid w:val="005B7897"/>
    <w:rsid w:val="005C2581"/>
    <w:rsid w:val="005C77B5"/>
    <w:rsid w:val="005C7F75"/>
    <w:rsid w:val="005F330C"/>
    <w:rsid w:val="005F5971"/>
    <w:rsid w:val="006203EC"/>
    <w:rsid w:val="006355FF"/>
    <w:rsid w:val="006B6DCC"/>
    <w:rsid w:val="006E3BD8"/>
    <w:rsid w:val="00711C5A"/>
    <w:rsid w:val="00722C54"/>
    <w:rsid w:val="00735CE3"/>
    <w:rsid w:val="007375E4"/>
    <w:rsid w:val="00742945"/>
    <w:rsid w:val="0074755A"/>
    <w:rsid w:val="00753443"/>
    <w:rsid w:val="007719D8"/>
    <w:rsid w:val="00775C89"/>
    <w:rsid w:val="007848FE"/>
    <w:rsid w:val="00793D39"/>
    <w:rsid w:val="0079773F"/>
    <w:rsid w:val="007A00FC"/>
    <w:rsid w:val="007A1877"/>
    <w:rsid w:val="007A762C"/>
    <w:rsid w:val="007C77A4"/>
    <w:rsid w:val="007D59C1"/>
    <w:rsid w:val="007E1359"/>
    <w:rsid w:val="007F68BA"/>
    <w:rsid w:val="008064A2"/>
    <w:rsid w:val="00813C21"/>
    <w:rsid w:val="00815767"/>
    <w:rsid w:val="00824A42"/>
    <w:rsid w:val="00834BFB"/>
    <w:rsid w:val="00837D39"/>
    <w:rsid w:val="0084378B"/>
    <w:rsid w:val="0085117D"/>
    <w:rsid w:val="00870B26"/>
    <w:rsid w:val="0087727D"/>
    <w:rsid w:val="00880356"/>
    <w:rsid w:val="00880378"/>
    <w:rsid w:val="00887951"/>
    <w:rsid w:val="0089785C"/>
    <w:rsid w:val="008A28FC"/>
    <w:rsid w:val="008C2520"/>
    <w:rsid w:val="008D6849"/>
    <w:rsid w:val="008E6E7E"/>
    <w:rsid w:val="00906876"/>
    <w:rsid w:val="00942714"/>
    <w:rsid w:val="009A3E3D"/>
    <w:rsid w:val="009A5CD8"/>
    <w:rsid w:val="009A7C07"/>
    <w:rsid w:val="009B43C5"/>
    <w:rsid w:val="009E3C89"/>
    <w:rsid w:val="009E5D69"/>
    <w:rsid w:val="009F161D"/>
    <w:rsid w:val="009F63F3"/>
    <w:rsid w:val="00A07FA1"/>
    <w:rsid w:val="00A154D8"/>
    <w:rsid w:val="00A23277"/>
    <w:rsid w:val="00A57AD4"/>
    <w:rsid w:val="00A64C66"/>
    <w:rsid w:val="00AB133F"/>
    <w:rsid w:val="00AB2BE6"/>
    <w:rsid w:val="00AB3344"/>
    <w:rsid w:val="00AB5768"/>
    <w:rsid w:val="00AC4EBD"/>
    <w:rsid w:val="00AD54C3"/>
    <w:rsid w:val="00AF4660"/>
    <w:rsid w:val="00B001BC"/>
    <w:rsid w:val="00B202A2"/>
    <w:rsid w:val="00B24B25"/>
    <w:rsid w:val="00B31DB1"/>
    <w:rsid w:val="00B33375"/>
    <w:rsid w:val="00B4576D"/>
    <w:rsid w:val="00B57365"/>
    <w:rsid w:val="00B67C18"/>
    <w:rsid w:val="00B84770"/>
    <w:rsid w:val="00B84E0A"/>
    <w:rsid w:val="00B92F07"/>
    <w:rsid w:val="00B97603"/>
    <w:rsid w:val="00BA12EE"/>
    <w:rsid w:val="00BA57F6"/>
    <w:rsid w:val="00BA6162"/>
    <w:rsid w:val="00BC7286"/>
    <w:rsid w:val="00BD0739"/>
    <w:rsid w:val="00BD7621"/>
    <w:rsid w:val="00BE11AE"/>
    <w:rsid w:val="00BE31F0"/>
    <w:rsid w:val="00C12449"/>
    <w:rsid w:val="00C14EC5"/>
    <w:rsid w:val="00C32E17"/>
    <w:rsid w:val="00C9339B"/>
    <w:rsid w:val="00C9392E"/>
    <w:rsid w:val="00CC1ABA"/>
    <w:rsid w:val="00CD3ED3"/>
    <w:rsid w:val="00CD500E"/>
    <w:rsid w:val="00CD5645"/>
    <w:rsid w:val="00D05B96"/>
    <w:rsid w:val="00D140C1"/>
    <w:rsid w:val="00D149AF"/>
    <w:rsid w:val="00D412CE"/>
    <w:rsid w:val="00D446C6"/>
    <w:rsid w:val="00D553E3"/>
    <w:rsid w:val="00D94E34"/>
    <w:rsid w:val="00DA2B59"/>
    <w:rsid w:val="00DF0C60"/>
    <w:rsid w:val="00DF5187"/>
    <w:rsid w:val="00DF7F56"/>
    <w:rsid w:val="00E30016"/>
    <w:rsid w:val="00E34A9E"/>
    <w:rsid w:val="00E34D8F"/>
    <w:rsid w:val="00E44902"/>
    <w:rsid w:val="00E45D46"/>
    <w:rsid w:val="00E65447"/>
    <w:rsid w:val="00E7124A"/>
    <w:rsid w:val="00E94203"/>
    <w:rsid w:val="00E96163"/>
    <w:rsid w:val="00EA4DD9"/>
    <w:rsid w:val="00EA671D"/>
    <w:rsid w:val="00EB407F"/>
    <w:rsid w:val="00EB6B73"/>
    <w:rsid w:val="00EB728B"/>
    <w:rsid w:val="00EC1D9E"/>
    <w:rsid w:val="00ED09D0"/>
    <w:rsid w:val="00EE06AE"/>
    <w:rsid w:val="00EF6E91"/>
    <w:rsid w:val="00EF7C9A"/>
    <w:rsid w:val="00F10F56"/>
    <w:rsid w:val="00F11AE4"/>
    <w:rsid w:val="00F16492"/>
    <w:rsid w:val="00F21352"/>
    <w:rsid w:val="00F44979"/>
    <w:rsid w:val="00F46514"/>
    <w:rsid w:val="00F537DC"/>
    <w:rsid w:val="00F91E8F"/>
    <w:rsid w:val="00FA700B"/>
    <w:rsid w:val="00FB7A05"/>
    <w:rsid w:val="00FE4575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7D5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7D5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B045-AA59-4E03-987C-EF19B34B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Kontaktmøte mellom Kredittilsynet og FUAL 8. november 1994.			Sak 14.</vt:lpstr>
    </vt:vector>
  </TitlesOfParts>
  <Company>Kredittilsynet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Kontaktmøte mellom Kredittilsynet og FUAL 8. november 1994.			Sak 14.</dc:title>
  <dc:creator>Vibeke.Gilde@finanstilsynet.no</dc:creator>
  <cp:lastModifiedBy>Torunn Moe</cp:lastModifiedBy>
  <cp:revision>2</cp:revision>
  <cp:lastPrinted>2017-02-03T13:54:00Z</cp:lastPrinted>
  <dcterms:created xsi:type="dcterms:W3CDTF">2017-03-13T18:51:00Z</dcterms:created>
  <dcterms:modified xsi:type="dcterms:W3CDTF">2017-03-13T18:51:00Z</dcterms:modified>
</cp:coreProperties>
</file>